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5AB" w:rsidRPr="00425CF6" w:rsidRDefault="006B25AB" w:rsidP="006B25AB">
      <w:pPr>
        <w:widowControl w:val="0"/>
        <w:autoSpaceDE w:val="0"/>
        <w:autoSpaceDN w:val="0"/>
        <w:spacing w:before="61" w:after="0" w:line="240" w:lineRule="auto"/>
        <w:ind w:right="570"/>
        <w:jc w:val="right"/>
      </w:pPr>
      <w:r w:rsidRPr="00425CF6">
        <w:t>ISSN</w:t>
      </w:r>
      <w:r w:rsidRPr="00425CF6">
        <w:rPr>
          <w:spacing w:val="-3"/>
        </w:rPr>
        <w:t xml:space="preserve"> </w:t>
      </w:r>
      <w:r w:rsidRPr="00425CF6">
        <w:rPr>
          <w:spacing w:val="-2"/>
        </w:rPr>
        <w:t>2078–3396</w:t>
      </w:r>
    </w:p>
    <w:p w:rsidR="006B25AB" w:rsidRPr="00425CF6" w:rsidRDefault="006B25AB" w:rsidP="006B25AB">
      <w:pPr>
        <w:widowControl w:val="0"/>
        <w:autoSpaceDE w:val="0"/>
        <w:autoSpaceDN w:val="0"/>
        <w:spacing w:before="293" w:after="0" w:line="240" w:lineRule="auto"/>
        <w:ind w:right="566"/>
        <w:jc w:val="right"/>
      </w:pPr>
      <w:r w:rsidRPr="00425CF6">
        <w:t>Міністерство</w:t>
      </w:r>
      <w:r w:rsidRPr="00425CF6">
        <w:rPr>
          <w:spacing w:val="-5"/>
        </w:rPr>
        <w:t xml:space="preserve"> </w:t>
      </w:r>
      <w:r w:rsidRPr="00425CF6">
        <w:t>освіти</w:t>
      </w:r>
      <w:r w:rsidRPr="00425CF6">
        <w:rPr>
          <w:spacing w:val="-6"/>
        </w:rPr>
        <w:t xml:space="preserve"> </w:t>
      </w:r>
      <w:r w:rsidRPr="00425CF6">
        <w:t>і</w:t>
      </w:r>
      <w:r w:rsidRPr="00425CF6">
        <w:rPr>
          <w:spacing w:val="-5"/>
        </w:rPr>
        <w:t xml:space="preserve"> </w:t>
      </w:r>
      <w:r w:rsidRPr="00425CF6">
        <w:t>науки</w:t>
      </w:r>
      <w:r w:rsidRPr="00425CF6">
        <w:rPr>
          <w:spacing w:val="-4"/>
        </w:rPr>
        <w:t xml:space="preserve"> </w:t>
      </w:r>
      <w:r w:rsidRPr="00425CF6">
        <w:rPr>
          <w:spacing w:val="-2"/>
        </w:rPr>
        <w:t>України</w:t>
      </w: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before="5" w:after="0" w:line="240" w:lineRule="auto"/>
        <w:rPr>
          <w:szCs w:val="24"/>
        </w:rPr>
      </w:pPr>
    </w:p>
    <w:p w:rsidR="006B25AB" w:rsidRPr="00425CF6" w:rsidRDefault="006B25AB" w:rsidP="006B25AB">
      <w:pPr>
        <w:widowControl w:val="0"/>
        <w:autoSpaceDE w:val="0"/>
        <w:autoSpaceDN w:val="0"/>
        <w:spacing w:before="1" w:after="0" w:line="240" w:lineRule="auto"/>
        <w:ind w:right="565"/>
        <w:jc w:val="right"/>
        <w:rPr>
          <w:b/>
          <w:bCs/>
          <w:sz w:val="72"/>
          <w:szCs w:val="72"/>
        </w:rPr>
      </w:pPr>
      <w:r w:rsidRPr="00425CF6">
        <w:rPr>
          <w:b/>
          <w:bCs/>
          <w:spacing w:val="-2"/>
          <w:sz w:val="72"/>
          <w:szCs w:val="72"/>
        </w:rPr>
        <w:t>Вісник Прикарпатського університету</w:t>
      </w:r>
    </w:p>
    <w:p w:rsidR="006B25AB" w:rsidRPr="00425CF6" w:rsidRDefault="006B25AB" w:rsidP="006B25AB">
      <w:pPr>
        <w:widowControl w:val="0"/>
        <w:autoSpaceDE w:val="0"/>
        <w:autoSpaceDN w:val="0"/>
        <w:spacing w:before="137" w:after="0" w:line="240" w:lineRule="auto"/>
        <w:rPr>
          <w:b/>
          <w:sz w:val="72"/>
          <w:szCs w:val="24"/>
        </w:rPr>
      </w:pPr>
    </w:p>
    <w:p w:rsidR="006B25AB" w:rsidRPr="00425CF6" w:rsidRDefault="006B25AB" w:rsidP="006B25AB">
      <w:pPr>
        <w:widowControl w:val="0"/>
        <w:autoSpaceDE w:val="0"/>
        <w:autoSpaceDN w:val="0"/>
        <w:spacing w:after="0" w:line="413" w:lineRule="exact"/>
        <w:ind w:right="562"/>
        <w:jc w:val="right"/>
        <w:rPr>
          <w:b/>
          <w:sz w:val="36"/>
        </w:rPr>
      </w:pPr>
      <w:r w:rsidRPr="00425CF6">
        <w:rPr>
          <w:b/>
          <w:sz w:val="36"/>
        </w:rPr>
        <w:t xml:space="preserve">Фізична </w:t>
      </w:r>
      <w:r w:rsidRPr="00425CF6">
        <w:rPr>
          <w:b/>
          <w:spacing w:val="-2"/>
          <w:sz w:val="36"/>
        </w:rPr>
        <w:t>культура</w:t>
      </w:r>
    </w:p>
    <w:p w:rsidR="006B25AB" w:rsidRPr="00425CF6" w:rsidRDefault="006B25AB" w:rsidP="006B25AB">
      <w:pPr>
        <w:widowControl w:val="0"/>
        <w:autoSpaceDE w:val="0"/>
        <w:autoSpaceDN w:val="0"/>
        <w:spacing w:after="0" w:line="413" w:lineRule="exact"/>
        <w:ind w:right="562"/>
        <w:jc w:val="right"/>
        <w:rPr>
          <w:b/>
          <w:sz w:val="36"/>
        </w:rPr>
      </w:pPr>
      <w:r w:rsidRPr="00425CF6">
        <w:rPr>
          <w:b/>
          <w:sz w:val="36"/>
        </w:rPr>
        <w:t>Випуск</w:t>
      </w:r>
      <w:r w:rsidRPr="00425CF6">
        <w:rPr>
          <w:b/>
          <w:spacing w:val="-1"/>
          <w:sz w:val="36"/>
        </w:rPr>
        <w:t xml:space="preserve"> </w:t>
      </w:r>
      <w:r w:rsidRPr="00425CF6">
        <w:rPr>
          <w:b/>
          <w:spacing w:val="-5"/>
          <w:sz w:val="36"/>
        </w:rPr>
        <w:t>4</w:t>
      </w:r>
      <w:r>
        <w:rPr>
          <w:b/>
          <w:spacing w:val="-5"/>
          <w:sz w:val="36"/>
        </w:rPr>
        <w:t>6</w:t>
      </w:r>
    </w:p>
    <w:p w:rsidR="006B25AB" w:rsidRPr="00425CF6" w:rsidRDefault="006B25AB" w:rsidP="006B25AB">
      <w:pPr>
        <w:widowControl w:val="0"/>
        <w:autoSpaceDE w:val="0"/>
        <w:autoSpaceDN w:val="0"/>
        <w:spacing w:before="319" w:after="0" w:line="240" w:lineRule="auto"/>
        <w:ind w:right="565"/>
        <w:jc w:val="right"/>
      </w:pPr>
      <w:r w:rsidRPr="00425CF6">
        <w:t>Видається</w:t>
      </w:r>
      <w:r w:rsidRPr="00425CF6">
        <w:rPr>
          <w:spacing w:val="-5"/>
        </w:rPr>
        <w:t xml:space="preserve"> </w:t>
      </w:r>
      <w:r w:rsidRPr="00425CF6">
        <w:t>з</w:t>
      </w:r>
      <w:r w:rsidRPr="00425CF6">
        <w:rPr>
          <w:spacing w:val="-5"/>
        </w:rPr>
        <w:t xml:space="preserve"> </w:t>
      </w:r>
      <w:r w:rsidRPr="00425CF6">
        <w:t>2004</w:t>
      </w:r>
      <w:r w:rsidRPr="00425CF6">
        <w:rPr>
          <w:spacing w:val="-6"/>
        </w:rPr>
        <w:t xml:space="preserve"> </w:t>
      </w:r>
      <w:r w:rsidRPr="00425CF6">
        <w:rPr>
          <w:spacing w:val="-5"/>
        </w:rPr>
        <w:t>р.</w:t>
      </w: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after="0" w:line="240" w:lineRule="auto"/>
        <w:rPr>
          <w:szCs w:val="24"/>
        </w:rPr>
      </w:pPr>
    </w:p>
    <w:p w:rsidR="006B25AB" w:rsidRPr="00425CF6" w:rsidRDefault="006B25AB" w:rsidP="006B25AB">
      <w:pPr>
        <w:widowControl w:val="0"/>
        <w:autoSpaceDE w:val="0"/>
        <w:autoSpaceDN w:val="0"/>
        <w:spacing w:before="1" w:after="0" w:line="240" w:lineRule="auto"/>
        <w:rPr>
          <w:szCs w:val="24"/>
        </w:rPr>
      </w:pPr>
    </w:p>
    <w:p w:rsidR="006B25AB" w:rsidRPr="00425CF6" w:rsidRDefault="006B25AB" w:rsidP="006B25AB">
      <w:pPr>
        <w:widowControl w:val="0"/>
        <w:autoSpaceDE w:val="0"/>
        <w:autoSpaceDN w:val="0"/>
        <w:spacing w:after="0" w:line="240" w:lineRule="auto"/>
        <w:ind w:left="4678" w:firstLine="141"/>
        <w:jc w:val="center"/>
        <w:rPr>
          <w:spacing w:val="-2"/>
        </w:rPr>
      </w:pPr>
      <w:r w:rsidRPr="00425CF6">
        <w:rPr>
          <w:spacing w:val="-2"/>
        </w:rPr>
        <w:t xml:space="preserve">Івано-Франківськ </w:t>
      </w:r>
    </w:p>
    <w:p w:rsidR="006B25AB" w:rsidRPr="00425CF6" w:rsidRDefault="006B25AB" w:rsidP="006B25AB">
      <w:pPr>
        <w:widowControl w:val="0"/>
        <w:autoSpaceDE w:val="0"/>
        <w:autoSpaceDN w:val="0"/>
        <w:spacing w:after="0" w:line="240" w:lineRule="auto"/>
        <w:ind w:left="4678" w:firstLine="141"/>
        <w:jc w:val="center"/>
      </w:pPr>
      <w:r>
        <w:t>К</w:t>
      </w:r>
      <w:r w:rsidRPr="00425CF6">
        <w:t>арпатський</w:t>
      </w:r>
      <w:r w:rsidRPr="00425CF6">
        <w:rPr>
          <w:spacing w:val="-18"/>
        </w:rPr>
        <w:t xml:space="preserve"> </w:t>
      </w:r>
      <w:r w:rsidRPr="00425CF6">
        <w:t>національний університет</w:t>
      </w:r>
      <w:r w:rsidRPr="00425CF6">
        <w:rPr>
          <w:spacing w:val="-10"/>
        </w:rPr>
        <w:t xml:space="preserve"> </w:t>
      </w:r>
      <w:r w:rsidRPr="00425CF6">
        <w:t>імені</w:t>
      </w:r>
      <w:r w:rsidRPr="00425CF6">
        <w:rPr>
          <w:spacing w:val="-4"/>
        </w:rPr>
        <w:t xml:space="preserve"> </w:t>
      </w:r>
      <w:r w:rsidRPr="00425CF6">
        <w:t>Василя</w:t>
      </w:r>
      <w:r w:rsidRPr="00425CF6">
        <w:rPr>
          <w:spacing w:val="-5"/>
        </w:rPr>
        <w:t xml:space="preserve"> </w:t>
      </w:r>
      <w:r w:rsidRPr="00425CF6">
        <w:rPr>
          <w:spacing w:val="-2"/>
        </w:rPr>
        <w:t>Стефаника</w:t>
      </w:r>
    </w:p>
    <w:p w:rsidR="006B25AB" w:rsidRPr="00425CF6" w:rsidRDefault="00810A97" w:rsidP="00810A97">
      <w:pPr>
        <w:widowControl w:val="0"/>
        <w:tabs>
          <w:tab w:val="center" w:pos="7111"/>
        </w:tabs>
        <w:autoSpaceDE w:val="0"/>
        <w:autoSpaceDN w:val="0"/>
        <w:spacing w:after="0" w:line="240" w:lineRule="auto"/>
        <w:ind w:left="4678" w:firstLine="141"/>
      </w:pPr>
      <w:bookmarkStart w:id="0" w:name="_GoBack"/>
      <w:bookmarkEnd w:id="0"/>
      <w:r>
        <w:rPr>
          <w:spacing w:val="-4"/>
        </w:rPr>
        <w:tab/>
      </w:r>
      <w:r w:rsidR="006B25AB" w:rsidRPr="00425CF6">
        <w:rPr>
          <w:spacing w:val="-4"/>
        </w:rPr>
        <w:t>202</w:t>
      </w:r>
      <w:r w:rsidR="00895032">
        <w:rPr>
          <w:spacing w:val="-4"/>
        </w:rPr>
        <w:t>6</w:t>
      </w:r>
    </w:p>
    <w:p w:rsidR="006B25AB" w:rsidRPr="00425CF6" w:rsidRDefault="006B25AB" w:rsidP="006B25AB">
      <w:pPr>
        <w:autoSpaceDE w:val="0"/>
        <w:autoSpaceDN w:val="0"/>
        <w:adjustRightInd w:val="0"/>
        <w:spacing w:after="0" w:line="240" w:lineRule="auto"/>
        <w:rPr>
          <w:sz w:val="20"/>
          <w:szCs w:val="20"/>
        </w:rPr>
      </w:pPr>
      <w:r w:rsidRPr="00425CF6">
        <w:rPr>
          <w:sz w:val="20"/>
          <w:szCs w:val="20"/>
        </w:rPr>
        <w:t xml:space="preserve">УДК 796/799:082 </w:t>
      </w:r>
    </w:p>
    <w:p w:rsidR="006B25AB" w:rsidRPr="00425CF6" w:rsidRDefault="006B25AB" w:rsidP="006B25AB">
      <w:pPr>
        <w:pStyle w:val="a3"/>
        <w:spacing w:after="0"/>
        <w:ind w:left="263"/>
        <w:rPr>
          <w:sz w:val="20"/>
          <w:szCs w:val="20"/>
        </w:rPr>
      </w:pPr>
      <w:r w:rsidRPr="00425CF6">
        <w:rPr>
          <w:sz w:val="20"/>
          <w:szCs w:val="20"/>
        </w:rPr>
        <w:lastRenderedPageBreak/>
        <w:t>В53</w:t>
      </w:r>
    </w:p>
    <w:p w:rsidR="006B25AB" w:rsidRPr="00425CF6" w:rsidRDefault="006B25AB" w:rsidP="006B25AB">
      <w:pPr>
        <w:pStyle w:val="a3"/>
        <w:spacing w:after="0"/>
        <w:ind w:left="263"/>
        <w:rPr>
          <w:sz w:val="20"/>
        </w:rPr>
      </w:pPr>
    </w:p>
    <w:p w:rsidR="006B25AB" w:rsidRPr="00425CF6" w:rsidRDefault="006B25AB" w:rsidP="006B25AB">
      <w:pPr>
        <w:spacing w:after="0"/>
        <w:ind w:left="686" w:right="969"/>
        <w:jc w:val="center"/>
        <w:rPr>
          <w:sz w:val="16"/>
          <w:szCs w:val="16"/>
          <w:shd w:val="clear" w:color="auto" w:fill="FFFFFF"/>
        </w:rPr>
      </w:pPr>
      <w:r w:rsidRPr="00425CF6">
        <w:rPr>
          <w:sz w:val="16"/>
          <w:szCs w:val="16"/>
        </w:rPr>
        <w:t>Журнал</w:t>
      </w:r>
      <w:r w:rsidRPr="00425CF6">
        <w:rPr>
          <w:spacing w:val="-3"/>
          <w:sz w:val="16"/>
          <w:szCs w:val="16"/>
        </w:rPr>
        <w:t xml:space="preserve"> </w:t>
      </w:r>
      <w:r w:rsidRPr="00425CF6">
        <w:rPr>
          <w:sz w:val="16"/>
          <w:szCs w:val="16"/>
        </w:rPr>
        <w:t>включено</w:t>
      </w:r>
      <w:r w:rsidRPr="00425CF6">
        <w:rPr>
          <w:spacing w:val="-3"/>
          <w:sz w:val="16"/>
          <w:szCs w:val="16"/>
        </w:rPr>
        <w:t xml:space="preserve"> </w:t>
      </w:r>
      <w:r w:rsidRPr="00425CF6">
        <w:rPr>
          <w:sz w:val="16"/>
          <w:szCs w:val="16"/>
        </w:rPr>
        <w:t>до</w:t>
      </w:r>
      <w:r w:rsidRPr="00425CF6">
        <w:rPr>
          <w:spacing w:val="-3"/>
          <w:sz w:val="16"/>
          <w:szCs w:val="16"/>
        </w:rPr>
        <w:t xml:space="preserve"> </w:t>
      </w:r>
      <w:r w:rsidRPr="00425CF6">
        <w:rPr>
          <w:sz w:val="16"/>
          <w:szCs w:val="16"/>
        </w:rPr>
        <w:t>переліку</w:t>
      </w:r>
      <w:r w:rsidRPr="00425CF6">
        <w:rPr>
          <w:spacing w:val="-5"/>
          <w:sz w:val="16"/>
          <w:szCs w:val="16"/>
        </w:rPr>
        <w:t xml:space="preserve"> </w:t>
      </w:r>
      <w:r w:rsidRPr="00425CF6">
        <w:rPr>
          <w:sz w:val="16"/>
          <w:szCs w:val="16"/>
        </w:rPr>
        <w:t>наукових</w:t>
      </w:r>
      <w:r w:rsidRPr="00425CF6">
        <w:rPr>
          <w:spacing w:val="-3"/>
          <w:sz w:val="16"/>
          <w:szCs w:val="16"/>
        </w:rPr>
        <w:t xml:space="preserve"> </w:t>
      </w:r>
      <w:r w:rsidRPr="00425CF6">
        <w:rPr>
          <w:sz w:val="16"/>
          <w:szCs w:val="16"/>
        </w:rPr>
        <w:t>фахових</w:t>
      </w:r>
      <w:r w:rsidRPr="00425CF6">
        <w:rPr>
          <w:spacing w:val="-3"/>
          <w:sz w:val="16"/>
          <w:szCs w:val="16"/>
        </w:rPr>
        <w:t xml:space="preserve"> </w:t>
      </w:r>
      <w:r w:rsidRPr="00425CF6">
        <w:rPr>
          <w:sz w:val="16"/>
          <w:szCs w:val="16"/>
        </w:rPr>
        <w:t>видань</w:t>
      </w:r>
      <w:r w:rsidRPr="00425CF6">
        <w:rPr>
          <w:spacing w:val="-1"/>
          <w:sz w:val="16"/>
          <w:szCs w:val="16"/>
        </w:rPr>
        <w:t xml:space="preserve"> </w:t>
      </w:r>
      <w:r w:rsidRPr="00425CF6">
        <w:rPr>
          <w:sz w:val="16"/>
          <w:szCs w:val="16"/>
        </w:rPr>
        <w:t>України категорії</w:t>
      </w:r>
      <w:r w:rsidRPr="00425CF6">
        <w:rPr>
          <w:spacing w:val="-1"/>
          <w:sz w:val="16"/>
          <w:szCs w:val="16"/>
        </w:rPr>
        <w:t xml:space="preserve"> </w:t>
      </w:r>
      <w:r w:rsidRPr="00425CF6">
        <w:rPr>
          <w:sz w:val="16"/>
          <w:szCs w:val="16"/>
        </w:rPr>
        <w:t>Б</w:t>
      </w:r>
      <w:r w:rsidRPr="00425CF6">
        <w:rPr>
          <w:sz w:val="16"/>
          <w:szCs w:val="16"/>
          <w:shd w:val="clear" w:color="auto" w:fill="FFFFFF"/>
        </w:rPr>
        <w:t xml:space="preserve"> </w:t>
      </w:r>
    </w:p>
    <w:p w:rsidR="006B25AB" w:rsidRPr="00425CF6" w:rsidRDefault="006B25AB" w:rsidP="006B25AB">
      <w:pPr>
        <w:spacing w:after="0"/>
        <w:ind w:left="686" w:right="969"/>
        <w:jc w:val="center"/>
        <w:rPr>
          <w:sz w:val="16"/>
          <w:szCs w:val="16"/>
        </w:rPr>
      </w:pPr>
      <w:r w:rsidRPr="00425CF6">
        <w:rPr>
          <w:sz w:val="16"/>
          <w:szCs w:val="16"/>
          <w:shd w:val="clear" w:color="auto" w:fill="FFFFFF"/>
        </w:rPr>
        <w:t xml:space="preserve">за спеціальностями </w:t>
      </w:r>
      <w:r w:rsidR="002F7167">
        <w:rPr>
          <w:sz w:val="16"/>
          <w:szCs w:val="16"/>
          <w:shd w:val="clear" w:color="auto" w:fill="FFFFFF"/>
        </w:rPr>
        <w:t>А</w:t>
      </w:r>
      <w:r w:rsidRPr="00425CF6">
        <w:rPr>
          <w:sz w:val="16"/>
          <w:szCs w:val="16"/>
          <w:shd w:val="clear" w:color="auto" w:fill="FFFFFF"/>
        </w:rPr>
        <w:t xml:space="preserve">7 Фізична культура і спорт, </w:t>
      </w:r>
      <w:r w:rsidR="002F7167">
        <w:rPr>
          <w:sz w:val="16"/>
          <w:szCs w:val="16"/>
          <w:shd w:val="clear" w:color="auto" w:fill="FFFFFF"/>
        </w:rPr>
        <w:t>А</w:t>
      </w:r>
      <w:r w:rsidRPr="00425CF6">
        <w:rPr>
          <w:sz w:val="16"/>
          <w:szCs w:val="16"/>
          <w:shd w:val="clear" w:color="auto" w:fill="FFFFFF"/>
        </w:rPr>
        <w:t xml:space="preserve">4 Середня освіта (за </w:t>
      </w:r>
      <w:r w:rsidR="002F7167">
        <w:rPr>
          <w:sz w:val="16"/>
          <w:szCs w:val="16"/>
          <w:shd w:val="clear" w:color="auto" w:fill="FFFFFF"/>
        </w:rPr>
        <w:t>предметними спеціальностями): А</w:t>
      </w:r>
      <w:r w:rsidRPr="00425CF6">
        <w:rPr>
          <w:sz w:val="16"/>
          <w:szCs w:val="16"/>
          <w:shd w:val="clear" w:color="auto" w:fill="FFFFFF"/>
        </w:rPr>
        <w:t>4.11 Фізична культура.</w:t>
      </w:r>
    </w:p>
    <w:p w:rsidR="006B25AB" w:rsidRPr="00425CF6" w:rsidRDefault="006B25AB" w:rsidP="006B25AB">
      <w:pPr>
        <w:spacing w:after="0" w:line="183" w:lineRule="exact"/>
        <w:ind w:right="277"/>
        <w:jc w:val="center"/>
        <w:rPr>
          <w:sz w:val="16"/>
        </w:rPr>
      </w:pPr>
      <w:r w:rsidRPr="00425CF6">
        <w:rPr>
          <w:sz w:val="16"/>
        </w:rPr>
        <w:t>(Затверджено</w:t>
      </w:r>
      <w:r w:rsidRPr="00425CF6">
        <w:rPr>
          <w:spacing w:val="-6"/>
          <w:sz w:val="16"/>
        </w:rPr>
        <w:t xml:space="preserve"> </w:t>
      </w:r>
      <w:r w:rsidRPr="00425CF6">
        <w:rPr>
          <w:sz w:val="16"/>
        </w:rPr>
        <w:t>наказами</w:t>
      </w:r>
      <w:r w:rsidRPr="00425CF6">
        <w:rPr>
          <w:spacing w:val="-8"/>
          <w:sz w:val="16"/>
        </w:rPr>
        <w:t xml:space="preserve"> </w:t>
      </w:r>
      <w:r w:rsidRPr="00425CF6">
        <w:rPr>
          <w:sz w:val="16"/>
        </w:rPr>
        <w:t>Міністерства</w:t>
      </w:r>
      <w:r w:rsidRPr="00425CF6">
        <w:rPr>
          <w:spacing w:val="-4"/>
          <w:sz w:val="16"/>
        </w:rPr>
        <w:t xml:space="preserve"> </w:t>
      </w:r>
      <w:r w:rsidRPr="00425CF6">
        <w:rPr>
          <w:sz w:val="16"/>
        </w:rPr>
        <w:t>освіти</w:t>
      </w:r>
      <w:r w:rsidRPr="00425CF6">
        <w:rPr>
          <w:spacing w:val="-5"/>
          <w:sz w:val="16"/>
        </w:rPr>
        <w:t xml:space="preserve"> </w:t>
      </w:r>
      <w:r w:rsidRPr="00425CF6">
        <w:rPr>
          <w:sz w:val="16"/>
        </w:rPr>
        <w:t>і</w:t>
      </w:r>
      <w:r w:rsidRPr="00425CF6">
        <w:rPr>
          <w:spacing w:val="-7"/>
          <w:sz w:val="16"/>
        </w:rPr>
        <w:t xml:space="preserve"> </w:t>
      </w:r>
      <w:r w:rsidRPr="00425CF6">
        <w:rPr>
          <w:sz w:val="16"/>
        </w:rPr>
        <w:t>науки</w:t>
      </w:r>
      <w:r w:rsidRPr="00425CF6">
        <w:rPr>
          <w:spacing w:val="-6"/>
          <w:sz w:val="16"/>
        </w:rPr>
        <w:t xml:space="preserve"> </w:t>
      </w:r>
      <w:r w:rsidRPr="00425CF6">
        <w:rPr>
          <w:sz w:val="16"/>
        </w:rPr>
        <w:t>України</w:t>
      </w:r>
      <w:r w:rsidRPr="00425CF6">
        <w:rPr>
          <w:spacing w:val="-5"/>
          <w:sz w:val="16"/>
        </w:rPr>
        <w:t xml:space="preserve"> </w:t>
      </w:r>
      <w:r w:rsidRPr="00425CF6">
        <w:rPr>
          <w:sz w:val="16"/>
        </w:rPr>
        <w:t>від</w:t>
      </w:r>
      <w:r w:rsidRPr="00425CF6">
        <w:rPr>
          <w:spacing w:val="-8"/>
          <w:sz w:val="16"/>
        </w:rPr>
        <w:t xml:space="preserve"> </w:t>
      </w:r>
      <w:r w:rsidRPr="00425CF6">
        <w:rPr>
          <w:sz w:val="16"/>
        </w:rPr>
        <w:t>02.07.2020</w:t>
      </w:r>
      <w:r w:rsidRPr="00425CF6">
        <w:rPr>
          <w:spacing w:val="-5"/>
          <w:sz w:val="16"/>
        </w:rPr>
        <w:t xml:space="preserve"> </w:t>
      </w:r>
      <w:r w:rsidRPr="00425CF6">
        <w:rPr>
          <w:sz w:val="16"/>
        </w:rPr>
        <w:t>№</w:t>
      </w:r>
      <w:r w:rsidRPr="00425CF6">
        <w:rPr>
          <w:spacing w:val="-7"/>
          <w:sz w:val="16"/>
        </w:rPr>
        <w:t xml:space="preserve"> </w:t>
      </w:r>
      <w:r w:rsidRPr="00425CF6">
        <w:rPr>
          <w:sz w:val="16"/>
        </w:rPr>
        <w:t>886,</w:t>
      </w:r>
      <w:r w:rsidRPr="00425CF6">
        <w:rPr>
          <w:spacing w:val="-5"/>
          <w:sz w:val="16"/>
        </w:rPr>
        <w:t xml:space="preserve"> </w:t>
      </w:r>
      <w:r w:rsidRPr="00425CF6">
        <w:rPr>
          <w:sz w:val="16"/>
        </w:rPr>
        <w:t>додаток</w:t>
      </w:r>
      <w:r w:rsidRPr="00425CF6">
        <w:rPr>
          <w:spacing w:val="-6"/>
          <w:sz w:val="16"/>
        </w:rPr>
        <w:t xml:space="preserve"> </w:t>
      </w:r>
      <w:r w:rsidRPr="00425CF6">
        <w:rPr>
          <w:spacing w:val="-5"/>
          <w:sz w:val="16"/>
        </w:rPr>
        <w:t>4).</w:t>
      </w:r>
    </w:p>
    <w:p w:rsidR="006B25AB" w:rsidRPr="00425CF6" w:rsidRDefault="006B25AB" w:rsidP="006B25AB">
      <w:pPr>
        <w:spacing w:after="0"/>
        <w:ind w:left="2068" w:right="2352"/>
        <w:jc w:val="center"/>
        <w:rPr>
          <w:sz w:val="16"/>
        </w:rPr>
      </w:pPr>
      <w:r w:rsidRPr="00425CF6">
        <w:rPr>
          <w:sz w:val="16"/>
        </w:rPr>
        <w:t>Свідоцтво</w:t>
      </w:r>
      <w:r w:rsidRPr="00425CF6">
        <w:rPr>
          <w:spacing w:val="-5"/>
          <w:sz w:val="16"/>
        </w:rPr>
        <w:t xml:space="preserve"> </w:t>
      </w:r>
      <w:r w:rsidRPr="00425CF6">
        <w:rPr>
          <w:sz w:val="16"/>
        </w:rPr>
        <w:t>про</w:t>
      </w:r>
      <w:r w:rsidRPr="00425CF6">
        <w:rPr>
          <w:spacing w:val="-5"/>
          <w:sz w:val="16"/>
        </w:rPr>
        <w:t xml:space="preserve"> </w:t>
      </w:r>
      <w:r w:rsidRPr="00425CF6">
        <w:rPr>
          <w:sz w:val="16"/>
        </w:rPr>
        <w:t>державну</w:t>
      </w:r>
      <w:r w:rsidRPr="00425CF6">
        <w:rPr>
          <w:spacing w:val="-7"/>
          <w:sz w:val="16"/>
        </w:rPr>
        <w:t xml:space="preserve"> </w:t>
      </w:r>
      <w:r w:rsidRPr="00425CF6">
        <w:rPr>
          <w:sz w:val="16"/>
        </w:rPr>
        <w:t>реєстрацію</w:t>
      </w:r>
      <w:r w:rsidRPr="00425CF6">
        <w:rPr>
          <w:spacing w:val="-4"/>
          <w:sz w:val="16"/>
        </w:rPr>
        <w:t xml:space="preserve"> </w:t>
      </w:r>
      <w:r w:rsidRPr="00425CF6">
        <w:rPr>
          <w:sz w:val="16"/>
        </w:rPr>
        <w:t>друкованого</w:t>
      </w:r>
      <w:r w:rsidRPr="00425CF6">
        <w:rPr>
          <w:spacing w:val="-5"/>
          <w:sz w:val="16"/>
        </w:rPr>
        <w:t xml:space="preserve"> </w:t>
      </w:r>
      <w:r w:rsidRPr="00425CF6">
        <w:rPr>
          <w:sz w:val="16"/>
        </w:rPr>
        <w:t>засобу</w:t>
      </w:r>
      <w:r w:rsidRPr="00425CF6">
        <w:rPr>
          <w:spacing w:val="-8"/>
          <w:sz w:val="16"/>
        </w:rPr>
        <w:t xml:space="preserve"> </w:t>
      </w:r>
      <w:r w:rsidRPr="00425CF6">
        <w:rPr>
          <w:sz w:val="16"/>
        </w:rPr>
        <w:t>масової</w:t>
      </w:r>
      <w:r w:rsidRPr="00425CF6">
        <w:rPr>
          <w:spacing w:val="-5"/>
          <w:sz w:val="16"/>
        </w:rPr>
        <w:t xml:space="preserve"> </w:t>
      </w:r>
      <w:r w:rsidRPr="00425CF6">
        <w:rPr>
          <w:sz w:val="16"/>
        </w:rPr>
        <w:t>інформації</w:t>
      </w:r>
      <w:r w:rsidRPr="00425CF6">
        <w:rPr>
          <w:spacing w:val="40"/>
          <w:sz w:val="16"/>
        </w:rPr>
        <w:t xml:space="preserve"> </w:t>
      </w:r>
      <w:r w:rsidRPr="00425CF6">
        <w:rPr>
          <w:sz w:val="16"/>
        </w:rPr>
        <w:t>Серія КВ № 12601–1485Р від 18.05.2007 р.</w:t>
      </w:r>
    </w:p>
    <w:p w:rsidR="006B25AB" w:rsidRPr="00425CF6" w:rsidRDefault="006B25AB" w:rsidP="006B25AB">
      <w:pPr>
        <w:spacing w:after="0" w:line="183" w:lineRule="exact"/>
        <w:ind w:right="275"/>
        <w:jc w:val="center"/>
        <w:rPr>
          <w:sz w:val="16"/>
        </w:rPr>
      </w:pPr>
      <w:r w:rsidRPr="00425CF6">
        <w:rPr>
          <w:sz w:val="16"/>
        </w:rPr>
        <w:t>Ідентифікатор</w:t>
      </w:r>
      <w:r w:rsidRPr="00425CF6">
        <w:rPr>
          <w:spacing w:val="-8"/>
          <w:sz w:val="16"/>
        </w:rPr>
        <w:t xml:space="preserve"> </w:t>
      </w:r>
      <w:r w:rsidRPr="00425CF6">
        <w:rPr>
          <w:sz w:val="16"/>
        </w:rPr>
        <w:t>медіа</w:t>
      </w:r>
      <w:r w:rsidRPr="00425CF6">
        <w:rPr>
          <w:spacing w:val="-7"/>
          <w:sz w:val="16"/>
        </w:rPr>
        <w:t xml:space="preserve"> </w:t>
      </w:r>
      <w:r w:rsidRPr="00425CF6">
        <w:rPr>
          <w:sz w:val="16"/>
        </w:rPr>
        <w:t>R30-02051</w:t>
      </w:r>
      <w:r w:rsidRPr="00425CF6">
        <w:rPr>
          <w:spacing w:val="-7"/>
          <w:sz w:val="16"/>
        </w:rPr>
        <w:t xml:space="preserve"> </w:t>
      </w:r>
      <w:r w:rsidRPr="00425CF6">
        <w:rPr>
          <w:sz w:val="16"/>
        </w:rPr>
        <w:t>від</w:t>
      </w:r>
      <w:r w:rsidRPr="00425CF6">
        <w:rPr>
          <w:spacing w:val="-10"/>
          <w:sz w:val="16"/>
        </w:rPr>
        <w:t xml:space="preserve"> </w:t>
      </w:r>
      <w:r w:rsidRPr="00425CF6">
        <w:rPr>
          <w:sz w:val="16"/>
        </w:rPr>
        <w:t>23.11.2023</w:t>
      </w:r>
      <w:r w:rsidRPr="00425CF6">
        <w:rPr>
          <w:spacing w:val="-6"/>
          <w:sz w:val="16"/>
        </w:rPr>
        <w:t xml:space="preserve"> </w:t>
      </w:r>
      <w:r w:rsidRPr="00425CF6">
        <w:rPr>
          <w:spacing w:val="-5"/>
          <w:sz w:val="16"/>
        </w:rPr>
        <w:t>р.</w:t>
      </w:r>
    </w:p>
    <w:p w:rsidR="006B25AB" w:rsidRPr="00425CF6" w:rsidRDefault="006B25AB" w:rsidP="006B25AB">
      <w:pPr>
        <w:spacing w:after="0" w:line="183" w:lineRule="exact"/>
        <w:ind w:right="281"/>
        <w:jc w:val="center"/>
        <w:rPr>
          <w:sz w:val="16"/>
        </w:rPr>
      </w:pPr>
      <w:r w:rsidRPr="00425CF6">
        <w:rPr>
          <w:sz w:val="16"/>
        </w:rPr>
        <w:t>Журнал</w:t>
      </w:r>
      <w:r w:rsidRPr="00425CF6">
        <w:rPr>
          <w:spacing w:val="-7"/>
          <w:sz w:val="16"/>
        </w:rPr>
        <w:t xml:space="preserve"> </w:t>
      </w:r>
      <w:r w:rsidRPr="00425CF6">
        <w:rPr>
          <w:sz w:val="16"/>
        </w:rPr>
        <w:t>відображається</w:t>
      </w:r>
      <w:r w:rsidRPr="00425CF6">
        <w:rPr>
          <w:spacing w:val="-7"/>
          <w:sz w:val="16"/>
        </w:rPr>
        <w:t xml:space="preserve"> </w:t>
      </w:r>
      <w:r w:rsidRPr="00425CF6">
        <w:rPr>
          <w:sz w:val="16"/>
        </w:rPr>
        <w:t>в</w:t>
      </w:r>
      <w:r w:rsidRPr="00425CF6">
        <w:rPr>
          <w:spacing w:val="-4"/>
          <w:sz w:val="16"/>
        </w:rPr>
        <w:t xml:space="preserve"> </w:t>
      </w:r>
      <w:r w:rsidRPr="00425CF6">
        <w:rPr>
          <w:sz w:val="16"/>
        </w:rPr>
        <w:t>базі</w:t>
      </w:r>
      <w:r w:rsidRPr="00425CF6">
        <w:rPr>
          <w:spacing w:val="-4"/>
          <w:sz w:val="16"/>
        </w:rPr>
        <w:t xml:space="preserve"> </w:t>
      </w:r>
      <w:r w:rsidRPr="00425CF6">
        <w:rPr>
          <w:spacing w:val="-2"/>
          <w:sz w:val="16"/>
        </w:rPr>
        <w:t>даних:</w:t>
      </w:r>
    </w:p>
    <w:p w:rsidR="006B25AB" w:rsidRPr="00425CF6" w:rsidRDefault="006B25AB" w:rsidP="006B25AB">
      <w:pPr>
        <w:spacing w:after="0" w:line="183" w:lineRule="exact"/>
        <w:ind w:right="283"/>
        <w:jc w:val="center"/>
        <w:rPr>
          <w:spacing w:val="-2"/>
          <w:sz w:val="16"/>
        </w:rPr>
      </w:pPr>
      <w:r w:rsidRPr="00425CF6">
        <w:rPr>
          <w:sz w:val="16"/>
        </w:rPr>
        <w:t>Національної</w:t>
      </w:r>
      <w:r w:rsidRPr="00425CF6">
        <w:rPr>
          <w:spacing w:val="-12"/>
          <w:sz w:val="16"/>
        </w:rPr>
        <w:t xml:space="preserve"> </w:t>
      </w:r>
      <w:r w:rsidRPr="00425CF6">
        <w:rPr>
          <w:sz w:val="16"/>
        </w:rPr>
        <w:t>бібліотеки</w:t>
      </w:r>
      <w:r w:rsidRPr="00425CF6">
        <w:rPr>
          <w:spacing w:val="-10"/>
          <w:sz w:val="16"/>
        </w:rPr>
        <w:t xml:space="preserve"> </w:t>
      </w:r>
      <w:r w:rsidRPr="00425CF6">
        <w:rPr>
          <w:sz w:val="16"/>
        </w:rPr>
        <w:t>України</w:t>
      </w:r>
      <w:r w:rsidRPr="00425CF6">
        <w:rPr>
          <w:spacing w:val="-10"/>
          <w:sz w:val="16"/>
        </w:rPr>
        <w:t xml:space="preserve"> </w:t>
      </w:r>
      <w:r w:rsidRPr="00425CF6">
        <w:rPr>
          <w:sz w:val="16"/>
        </w:rPr>
        <w:t>імені</w:t>
      </w:r>
      <w:r w:rsidRPr="00425CF6">
        <w:rPr>
          <w:spacing w:val="-8"/>
          <w:sz w:val="16"/>
        </w:rPr>
        <w:t xml:space="preserve"> </w:t>
      </w:r>
      <w:r w:rsidRPr="00425CF6">
        <w:rPr>
          <w:sz w:val="16"/>
        </w:rPr>
        <w:t>В.І.</w:t>
      </w:r>
      <w:r w:rsidRPr="00425CF6">
        <w:rPr>
          <w:spacing w:val="-8"/>
          <w:sz w:val="16"/>
        </w:rPr>
        <w:t xml:space="preserve"> </w:t>
      </w:r>
      <w:r w:rsidRPr="00425CF6">
        <w:rPr>
          <w:sz w:val="16"/>
        </w:rPr>
        <w:t>Вернадського;</w:t>
      </w:r>
      <w:r w:rsidRPr="00425CF6">
        <w:rPr>
          <w:spacing w:val="-7"/>
          <w:sz w:val="16"/>
        </w:rPr>
        <w:t xml:space="preserve"> </w:t>
      </w:r>
      <w:r w:rsidRPr="00425CF6">
        <w:rPr>
          <w:sz w:val="16"/>
        </w:rPr>
        <w:t>Google</w:t>
      </w:r>
      <w:r w:rsidRPr="00425CF6">
        <w:rPr>
          <w:spacing w:val="-10"/>
          <w:sz w:val="16"/>
        </w:rPr>
        <w:t xml:space="preserve"> </w:t>
      </w:r>
      <w:r w:rsidRPr="00425CF6">
        <w:rPr>
          <w:spacing w:val="-2"/>
          <w:sz w:val="16"/>
        </w:rPr>
        <w:t>Scholar.</w:t>
      </w:r>
    </w:p>
    <w:p w:rsidR="002F7167" w:rsidRDefault="002F7167" w:rsidP="006B25AB">
      <w:pPr>
        <w:tabs>
          <w:tab w:val="left" w:pos="2560"/>
        </w:tabs>
        <w:spacing w:after="0"/>
        <w:rPr>
          <w:sz w:val="16"/>
        </w:rPr>
      </w:pPr>
    </w:p>
    <w:tbl>
      <w:tblPr>
        <w:tblStyle w:val="TableNormal"/>
        <w:tblW w:w="9017" w:type="dxa"/>
        <w:tblInd w:w="65" w:type="dxa"/>
        <w:tblLayout w:type="fixed"/>
        <w:tblLook w:val="01E0" w:firstRow="1" w:lastRow="1" w:firstColumn="1" w:lastColumn="1" w:noHBand="0" w:noVBand="0"/>
      </w:tblPr>
      <w:tblGrid>
        <w:gridCol w:w="1358"/>
        <w:gridCol w:w="2981"/>
        <w:gridCol w:w="1271"/>
        <w:gridCol w:w="3407"/>
      </w:tblGrid>
      <w:tr w:rsidR="002F7167" w:rsidRPr="00425CF6" w:rsidTr="000E5F67">
        <w:trPr>
          <w:trHeight w:val="195"/>
        </w:trPr>
        <w:tc>
          <w:tcPr>
            <w:tcW w:w="4339" w:type="dxa"/>
            <w:gridSpan w:val="2"/>
          </w:tcPr>
          <w:p w:rsidR="002F7167" w:rsidRPr="00425CF6" w:rsidRDefault="002F7167" w:rsidP="000E5F67">
            <w:pPr>
              <w:pStyle w:val="TableParagraph"/>
              <w:spacing w:line="176" w:lineRule="exact"/>
              <w:ind w:left="1394"/>
              <w:jc w:val="left"/>
              <w:rPr>
                <w:b/>
                <w:sz w:val="17"/>
              </w:rPr>
            </w:pPr>
            <w:r w:rsidRPr="00425CF6">
              <w:rPr>
                <w:b/>
                <w:sz w:val="17"/>
              </w:rPr>
              <w:t>Редакційна</w:t>
            </w:r>
            <w:r w:rsidRPr="00425CF6">
              <w:rPr>
                <w:b/>
                <w:spacing w:val="-4"/>
                <w:sz w:val="17"/>
              </w:rPr>
              <w:t xml:space="preserve"> </w:t>
            </w:r>
            <w:r w:rsidRPr="00425CF6">
              <w:rPr>
                <w:b/>
                <w:spacing w:val="-2"/>
                <w:sz w:val="17"/>
              </w:rPr>
              <w:t>колегія</w:t>
            </w:r>
          </w:p>
        </w:tc>
        <w:tc>
          <w:tcPr>
            <w:tcW w:w="1271" w:type="dxa"/>
          </w:tcPr>
          <w:p w:rsidR="002F7167" w:rsidRPr="00425CF6" w:rsidRDefault="002F7167" w:rsidP="000E5F67">
            <w:pPr>
              <w:pStyle w:val="TableParagraph"/>
              <w:ind w:left="0"/>
              <w:jc w:val="left"/>
              <w:rPr>
                <w:sz w:val="12"/>
              </w:rPr>
            </w:pPr>
          </w:p>
        </w:tc>
        <w:tc>
          <w:tcPr>
            <w:tcW w:w="3407" w:type="dxa"/>
          </w:tcPr>
          <w:p w:rsidR="002F7167" w:rsidRPr="00425CF6" w:rsidRDefault="002F7167" w:rsidP="000E5F67">
            <w:pPr>
              <w:pStyle w:val="TableParagraph"/>
              <w:spacing w:line="176" w:lineRule="exact"/>
              <w:ind w:left="536"/>
              <w:jc w:val="left"/>
              <w:rPr>
                <w:b/>
                <w:sz w:val="17"/>
              </w:rPr>
            </w:pPr>
            <w:r w:rsidRPr="00425CF6">
              <w:rPr>
                <w:b/>
                <w:sz w:val="17"/>
              </w:rPr>
              <w:t>Editorial</w:t>
            </w:r>
            <w:r w:rsidRPr="00425CF6">
              <w:rPr>
                <w:b/>
                <w:spacing w:val="-7"/>
                <w:sz w:val="17"/>
              </w:rPr>
              <w:t xml:space="preserve"> </w:t>
            </w:r>
            <w:r w:rsidRPr="00425CF6">
              <w:rPr>
                <w:b/>
                <w:spacing w:val="-2"/>
                <w:sz w:val="17"/>
              </w:rPr>
              <w:t>Board</w:t>
            </w:r>
          </w:p>
        </w:tc>
      </w:tr>
      <w:tr w:rsidR="002F7167" w:rsidRPr="00425CF6" w:rsidTr="000E5F67">
        <w:trPr>
          <w:trHeight w:val="194"/>
        </w:trPr>
        <w:tc>
          <w:tcPr>
            <w:tcW w:w="1358" w:type="dxa"/>
          </w:tcPr>
          <w:p w:rsidR="002F7167" w:rsidRPr="00425CF6" w:rsidRDefault="002F7167" w:rsidP="000E5F67">
            <w:pPr>
              <w:pStyle w:val="TableParagraph"/>
              <w:spacing w:line="193" w:lineRule="exact"/>
              <w:ind w:left="50"/>
              <w:jc w:val="left"/>
              <w:rPr>
                <w:sz w:val="17"/>
              </w:rPr>
            </w:pPr>
            <w:r w:rsidRPr="00425CF6">
              <w:rPr>
                <w:sz w:val="17"/>
              </w:rPr>
              <w:t>І.</w:t>
            </w:r>
            <w:r w:rsidRPr="00425CF6">
              <w:rPr>
                <w:spacing w:val="-4"/>
                <w:sz w:val="17"/>
              </w:rPr>
              <w:t xml:space="preserve"> </w:t>
            </w:r>
            <w:r w:rsidRPr="00425CF6">
              <w:rPr>
                <w:spacing w:val="-2"/>
                <w:sz w:val="17"/>
              </w:rPr>
              <w:t>Випасняк</w:t>
            </w:r>
          </w:p>
        </w:tc>
        <w:tc>
          <w:tcPr>
            <w:tcW w:w="2981" w:type="dxa"/>
          </w:tcPr>
          <w:p w:rsidR="002F7167" w:rsidRPr="00425CF6" w:rsidRDefault="002F7167" w:rsidP="000E5F67">
            <w:pPr>
              <w:pStyle w:val="TableParagraph"/>
              <w:spacing w:line="194" w:lineRule="exact"/>
              <w:ind w:left="28" w:right="141"/>
              <w:jc w:val="both"/>
              <w:rPr>
                <w:sz w:val="17"/>
              </w:rPr>
            </w:pPr>
            <w:r w:rsidRPr="00683B27">
              <w:rPr>
                <w:sz w:val="17"/>
                <w:lang w:val="ru-RU"/>
              </w:rPr>
              <w:t>д-р</w:t>
            </w:r>
            <w:r w:rsidRPr="00683B27">
              <w:rPr>
                <w:spacing w:val="-8"/>
                <w:sz w:val="17"/>
                <w:lang w:val="ru-RU"/>
              </w:rPr>
              <w:t xml:space="preserve"> </w:t>
            </w:r>
            <w:r w:rsidRPr="00683B27">
              <w:rPr>
                <w:sz w:val="17"/>
                <w:szCs w:val="17"/>
                <w:lang w:val="ru-RU"/>
              </w:rPr>
              <w:t>наук</w:t>
            </w:r>
            <w:r w:rsidRPr="00683B27">
              <w:rPr>
                <w:spacing w:val="-10"/>
                <w:sz w:val="17"/>
                <w:szCs w:val="17"/>
                <w:lang w:val="ru-RU"/>
              </w:rPr>
              <w:t xml:space="preserve"> </w:t>
            </w:r>
            <w:r w:rsidRPr="00683B27">
              <w:rPr>
                <w:sz w:val="17"/>
                <w:szCs w:val="17"/>
                <w:lang w:val="ru-RU"/>
              </w:rPr>
              <w:t>з</w:t>
            </w:r>
            <w:r w:rsidRPr="00683B27">
              <w:rPr>
                <w:spacing w:val="-9"/>
                <w:sz w:val="17"/>
                <w:szCs w:val="17"/>
                <w:lang w:val="ru-RU"/>
              </w:rPr>
              <w:t xml:space="preserve"> </w:t>
            </w:r>
            <w:r w:rsidRPr="00683B27">
              <w:rPr>
                <w:sz w:val="17"/>
                <w:szCs w:val="17"/>
                <w:lang w:val="ru-RU"/>
              </w:rPr>
              <w:t>фіз. виховання і спорту, проф</w:t>
            </w:r>
            <w:r w:rsidRPr="00683B27">
              <w:rPr>
                <w:sz w:val="17"/>
                <w:lang w:val="ru-RU"/>
              </w:rPr>
              <w:t>.</w:t>
            </w:r>
            <w:r w:rsidRPr="00683B27">
              <w:rPr>
                <w:spacing w:val="-1"/>
                <w:sz w:val="17"/>
                <w:lang w:val="ru-RU"/>
              </w:rPr>
              <w:t xml:space="preserve"> </w:t>
            </w:r>
            <w:r w:rsidRPr="00425CF6">
              <w:rPr>
                <w:sz w:val="17"/>
              </w:rPr>
              <w:t>(</w:t>
            </w:r>
            <w:r w:rsidRPr="00425CF6">
              <w:rPr>
                <w:i/>
                <w:sz w:val="17"/>
              </w:rPr>
              <w:t>гол.</w:t>
            </w:r>
            <w:r w:rsidRPr="00425CF6">
              <w:rPr>
                <w:i/>
                <w:spacing w:val="-1"/>
                <w:sz w:val="17"/>
              </w:rPr>
              <w:t xml:space="preserve"> </w:t>
            </w:r>
            <w:r w:rsidRPr="00425CF6">
              <w:rPr>
                <w:i/>
                <w:spacing w:val="-4"/>
                <w:sz w:val="17"/>
              </w:rPr>
              <w:t>ред.</w:t>
            </w:r>
            <w:r w:rsidRPr="00425CF6">
              <w:rPr>
                <w:spacing w:val="-4"/>
                <w:sz w:val="17"/>
              </w:rPr>
              <w:t>)</w:t>
            </w:r>
          </w:p>
        </w:tc>
        <w:tc>
          <w:tcPr>
            <w:tcW w:w="1271" w:type="dxa"/>
          </w:tcPr>
          <w:p w:rsidR="002F7167" w:rsidRPr="00425CF6" w:rsidRDefault="002F7167" w:rsidP="000E5F67">
            <w:pPr>
              <w:pStyle w:val="Default"/>
              <w:rPr>
                <w:color w:val="auto"/>
                <w:sz w:val="16"/>
                <w:szCs w:val="16"/>
              </w:rPr>
            </w:pPr>
            <w:r w:rsidRPr="00425CF6">
              <w:rPr>
                <w:color w:val="auto"/>
                <w:sz w:val="16"/>
                <w:szCs w:val="16"/>
              </w:rPr>
              <w:t xml:space="preserve">I. Vypasniak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 xml:space="preserve">Doctor of Science in Physical Education and Sport, Professor </w:t>
            </w:r>
            <w:r w:rsidRPr="00425CF6">
              <w:rPr>
                <w:color w:val="auto"/>
                <w:sz w:val="17"/>
                <w:szCs w:val="17"/>
              </w:rPr>
              <w:t>(</w:t>
            </w:r>
            <w:r w:rsidRPr="00425CF6">
              <w:rPr>
                <w:i/>
                <w:iCs/>
                <w:color w:val="auto"/>
                <w:sz w:val="17"/>
                <w:szCs w:val="17"/>
              </w:rPr>
              <w:t>Editor in chief</w:t>
            </w:r>
            <w:r w:rsidRPr="00425CF6">
              <w:rPr>
                <w:color w:val="auto"/>
                <w:sz w:val="17"/>
                <w:szCs w:val="17"/>
              </w:rPr>
              <w:t xml:space="preserve">) </w:t>
            </w:r>
          </w:p>
        </w:tc>
      </w:tr>
      <w:tr w:rsidR="002F7167" w:rsidRPr="00425CF6" w:rsidTr="000E5F67">
        <w:trPr>
          <w:trHeight w:val="194"/>
        </w:trPr>
        <w:tc>
          <w:tcPr>
            <w:tcW w:w="1358" w:type="dxa"/>
          </w:tcPr>
          <w:p w:rsidR="002F7167" w:rsidRPr="00425CF6" w:rsidRDefault="002F7167" w:rsidP="000E5F67">
            <w:pPr>
              <w:pStyle w:val="TableParagraph"/>
              <w:spacing w:line="174" w:lineRule="exact"/>
              <w:ind w:left="50"/>
              <w:jc w:val="left"/>
              <w:rPr>
                <w:sz w:val="17"/>
              </w:rPr>
            </w:pPr>
            <w:r w:rsidRPr="00425CF6">
              <w:rPr>
                <w:sz w:val="17"/>
              </w:rPr>
              <w:t>І. Іванишин</w:t>
            </w:r>
          </w:p>
        </w:tc>
        <w:tc>
          <w:tcPr>
            <w:tcW w:w="2981" w:type="dxa"/>
          </w:tcPr>
          <w:p w:rsidR="002F7167" w:rsidRPr="00683B27" w:rsidRDefault="002F7167" w:rsidP="000E5F67">
            <w:pPr>
              <w:pStyle w:val="TableParagraph"/>
              <w:spacing w:line="174" w:lineRule="exact"/>
              <w:ind w:left="28" w:right="141"/>
              <w:jc w:val="both"/>
              <w:rPr>
                <w:sz w:val="17"/>
                <w:lang w:val="ru-RU"/>
              </w:rPr>
            </w:pPr>
            <w:r w:rsidRPr="00683B27">
              <w:rPr>
                <w:sz w:val="17"/>
                <w:lang w:val="ru-RU"/>
              </w:rPr>
              <w:t>канд. хім. наук, доцент.</w:t>
            </w:r>
            <w:r w:rsidRPr="00683B27">
              <w:rPr>
                <w:spacing w:val="-1"/>
                <w:sz w:val="17"/>
                <w:lang w:val="ru-RU"/>
              </w:rPr>
              <w:t xml:space="preserve"> </w:t>
            </w:r>
            <w:r w:rsidRPr="00683B27">
              <w:rPr>
                <w:sz w:val="17"/>
                <w:lang w:val="ru-RU"/>
              </w:rPr>
              <w:t>(</w:t>
            </w:r>
            <w:r w:rsidRPr="00683B27">
              <w:rPr>
                <w:i/>
                <w:sz w:val="17"/>
                <w:lang w:val="ru-RU"/>
              </w:rPr>
              <w:t>заст. гол.</w:t>
            </w:r>
            <w:r w:rsidRPr="00683B27">
              <w:rPr>
                <w:i/>
                <w:spacing w:val="-1"/>
                <w:sz w:val="17"/>
                <w:lang w:val="ru-RU"/>
              </w:rPr>
              <w:t xml:space="preserve"> </w:t>
            </w:r>
            <w:r w:rsidRPr="00683B27">
              <w:rPr>
                <w:i/>
                <w:spacing w:val="-4"/>
                <w:sz w:val="17"/>
                <w:lang w:val="ru-RU"/>
              </w:rPr>
              <w:t>ред.</w:t>
            </w:r>
            <w:r w:rsidRPr="00683B27">
              <w:rPr>
                <w:spacing w:val="-4"/>
                <w:sz w:val="17"/>
                <w:lang w:val="ru-RU"/>
              </w:rPr>
              <w:t>)</w:t>
            </w:r>
          </w:p>
        </w:tc>
        <w:tc>
          <w:tcPr>
            <w:tcW w:w="1271" w:type="dxa"/>
          </w:tcPr>
          <w:p w:rsidR="002F7167" w:rsidRPr="00425CF6" w:rsidRDefault="002F7167" w:rsidP="000E5F67">
            <w:pPr>
              <w:pStyle w:val="Default"/>
              <w:rPr>
                <w:color w:val="auto"/>
                <w:sz w:val="16"/>
                <w:szCs w:val="16"/>
              </w:rPr>
            </w:pPr>
            <w:r w:rsidRPr="00425CF6">
              <w:rPr>
                <w:color w:val="auto"/>
                <w:sz w:val="16"/>
                <w:szCs w:val="16"/>
              </w:rPr>
              <w:t>I.Ivanyshyn</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Candidate of Sciences</w:t>
            </w:r>
            <w:r>
              <w:rPr>
                <w:color w:val="auto"/>
                <w:sz w:val="16"/>
                <w:szCs w:val="16"/>
              </w:rPr>
              <w:t xml:space="preserve"> in Chemistry</w:t>
            </w:r>
            <w:r w:rsidRPr="00425CF6">
              <w:rPr>
                <w:color w:val="auto"/>
                <w:sz w:val="16"/>
                <w:szCs w:val="16"/>
              </w:rPr>
              <w:t>, Associate Professor (</w:t>
            </w:r>
            <w:r w:rsidRPr="00425CF6">
              <w:rPr>
                <w:i/>
                <w:iCs/>
                <w:color w:val="auto"/>
                <w:sz w:val="16"/>
                <w:szCs w:val="16"/>
              </w:rPr>
              <w:t>Deputy Editor)</w:t>
            </w:r>
          </w:p>
        </w:tc>
      </w:tr>
      <w:tr w:rsidR="002F7167" w:rsidRPr="00425CF6" w:rsidTr="000E5F67">
        <w:trPr>
          <w:trHeight w:val="390"/>
        </w:trPr>
        <w:tc>
          <w:tcPr>
            <w:tcW w:w="1358" w:type="dxa"/>
          </w:tcPr>
          <w:p w:rsidR="002F7167" w:rsidRPr="00425CF6" w:rsidRDefault="002F7167" w:rsidP="000E5F67">
            <w:pPr>
              <w:pStyle w:val="TableParagraph"/>
              <w:spacing w:line="193" w:lineRule="exact"/>
              <w:ind w:left="50"/>
              <w:jc w:val="left"/>
              <w:rPr>
                <w:sz w:val="17"/>
              </w:rPr>
            </w:pPr>
            <w:r w:rsidRPr="00425CF6">
              <w:rPr>
                <w:sz w:val="17"/>
              </w:rPr>
              <w:t>М.</w:t>
            </w:r>
            <w:r w:rsidRPr="00425CF6">
              <w:rPr>
                <w:spacing w:val="-1"/>
                <w:sz w:val="17"/>
              </w:rPr>
              <w:t xml:space="preserve"> </w:t>
            </w:r>
            <w:r w:rsidRPr="00425CF6">
              <w:rPr>
                <w:spacing w:val="-2"/>
                <w:sz w:val="17"/>
              </w:rPr>
              <w:t>Дутчак</w:t>
            </w:r>
          </w:p>
        </w:tc>
        <w:tc>
          <w:tcPr>
            <w:tcW w:w="2981" w:type="dxa"/>
          </w:tcPr>
          <w:p w:rsidR="002F7167" w:rsidRPr="00683B27" w:rsidRDefault="002F7167" w:rsidP="000E5F67">
            <w:pPr>
              <w:pStyle w:val="TableParagraph"/>
              <w:spacing w:line="194" w:lineRule="exact"/>
              <w:ind w:left="28" w:right="141"/>
              <w:jc w:val="both"/>
              <w:rPr>
                <w:sz w:val="17"/>
                <w:lang w:val="ru-RU"/>
              </w:rPr>
            </w:pPr>
            <w:r w:rsidRPr="00683B27">
              <w:rPr>
                <w:sz w:val="17"/>
                <w:lang w:val="ru-RU"/>
              </w:rPr>
              <w:t>д-р</w:t>
            </w:r>
            <w:r w:rsidRPr="00683B27">
              <w:rPr>
                <w:spacing w:val="-11"/>
                <w:sz w:val="17"/>
                <w:lang w:val="ru-RU"/>
              </w:rPr>
              <w:t xml:space="preserve"> </w:t>
            </w:r>
            <w:r w:rsidRPr="00683B27">
              <w:rPr>
                <w:sz w:val="17"/>
                <w:lang w:val="ru-RU"/>
              </w:rPr>
              <w:t>наук</w:t>
            </w:r>
            <w:r w:rsidRPr="00683B27">
              <w:rPr>
                <w:spacing w:val="-11"/>
                <w:sz w:val="17"/>
                <w:lang w:val="ru-RU"/>
              </w:rPr>
              <w:t xml:space="preserve"> </w:t>
            </w:r>
            <w:r w:rsidRPr="00683B27">
              <w:rPr>
                <w:sz w:val="17"/>
                <w:szCs w:val="17"/>
                <w:lang w:val="ru-RU"/>
              </w:rPr>
              <w:t>з</w:t>
            </w:r>
            <w:r w:rsidRPr="00683B27">
              <w:rPr>
                <w:spacing w:val="-9"/>
                <w:sz w:val="17"/>
                <w:szCs w:val="17"/>
                <w:lang w:val="ru-RU"/>
              </w:rPr>
              <w:t xml:space="preserve"> </w:t>
            </w:r>
            <w:r w:rsidRPr="00683B27">
              <w:rPr>
                <w:sz w:val="17"/>
                <w:szCs w:val="17"/>
                <w:lang w:val="ru-RU"/>
              </w:rPr>
              <w:t xml:space="preserve">фіз. виховання і спорту, </w:t>
            </w:r>
            <w:r w:rsidRPr="00683B27">
              <w:rPr>
                <w:sz w:val="17"/>
                <w:lang w:val="ru-RU"/>
              </w:rPr>
              <w:t>проф.</w:t>
            </w:r>
          </w:p>
        </w:tc>
        <w:tc>
          <w:tcPr>
            <w:tcW w:w="1271" w:type="dxa"/>
          </w:tcPr>
          <w:p w:rsidR="002F7167" w:rsidRPr="00425CF6" w:rsidRDefault="002F7167" w:rsidP="000E5F67">
            <w:pPr>
              <w:pStyle w:val="Default"/>
              <w:rPr>
                <w:color w:val="auto"/>
                <w:sz w:val="16"/>
                <w:szCs w:val="16"/>
              </w:rPr>
            </w:pPr>
            <w:r w:rsidRPr="00425CF6">
              <w:rPr>
                <w:color w:val="auto"/>
                <w:sz w:val="16"/>
                <w:szCs w:val="16"/>
              </w:rPr>
              <w:t xml:space="preserve">M. Dutchak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 xml:space="preserve">Doctor of Science in Physical Education and Sport, Professor </w:t>
            </w:r>
          </w:p>
        </w:tc>
      </w:tr>
      <w:tr w:rsidR="002F7167" w:rsidRPr="00425CF6" w:rsidTr="000E5F67">
        <w:trPr>
          <w:trHeight w:val="391"/>
        </w:trPr>
        <w:tc>
          <w:tcPr>
            <w:tcW w:w="1358" w:type="dxa"/>
          </w:tcPr>
          <w:p w:rsidR="002F7167" w:rsidRPr="00425CF6" w:rsidRDefault="002F7167" w:rsidP="000E5F67">
            <w:pPr>
              <w:pStyle w:val="TableParagraph"/>
              <w:spacing w:line="193" w:lineRule="exact"/>
              <w:ind w:left="50"/>
              <w:jc w:val="left"/>
              <w:rPr>
                <w:sz w:val="17"/>
              </w:rPr>
            </w:pPr>
            <w:r w:rsidRPr="00425CF6">
              <w:rPr>
                <w:sz w:val="17"/>
              </w:rPr>
              <w:t>А.</w:t>
            </w:r>
            <w:r w:rsidRPr="00425CF6">
              <w:rPr>
                <w:spacing w:val="-4"/>
                <w:sz w:val="17"/>
              </w:rPr>
              <w:t xml:space="preserve"> </w:t>
            </w:r>
            <w:r w:rsidRPr="00425CF6">
              <w:rPr>
                <w:spacing w:val="-2"/>
                <w:sz w:val="17"/>
              </w:rPr>
              <w:t>Альошина</w:t>
            </w:r>
          </w:p>
        </w:tc>
        <w:tc>
          <w:tcPr>
            <w:tcW w:w="2981" w:type="dxa"/>
          </w:tcPr>
          <w:p w:rsidR="002F7167" w:rsidRPr="00683B27" w:rsidRDefault="002F7167" w:rsidP="000E5F67">
            <w:pPr>
              <w:pStyle w:val="TableParagraph"/>
              <w:spacing w:line="194" w:lineRule="exact"/>
              <w:ind w:left="28" w:right="141"/>
              <w:jc w:val="both"/>
              <w:rPr>
                <w:sz w:val="17"/>
                <w:lang w:val="ru-RU"/>
              </w:rPr>
            </w:pPr>
            <w:r w:rsidRPr="00683B27">
              <w:rPr>
                <w:sz w:val="17"/>
                <w:lang w:val="ru-RU"/>
              </w:rPr>
              <w:t>д-р</w:t>
            </w:r>
            <w:r w:rsidRPr="00683B27">
              <w:rPr>
                <w:spacing w:val="-7"/>
                <w:sz w:val="17"/>
                <w:lang w:val="ru-RU"/>
              </w:rPr>
              <w:t xml:space="preserve"> </w:t>
            </w:r>
            <w:r w:rsidRPr="00683B27">
              <w:rPr>
                <w:sz w:val="17"/>
                <w:lang w:val="ru-RU"/>
              </w:rPr>
              <w:t>наук</w:t>
            </w:r>
            <w:r w:rsidRPr="00683B27">
              <w:rPr>
                <w:spacing w:val="-9"/>
                <w:sz w:val="17"/>
                <w:lang w:val="ru-RU"/>
              </w:rPr>
              <w:t xml:space="preserve"> </w:t>
            </w:r>
            <w:r w:rsidRPr="00683B27">
              <w:rPr>
                <w:sz w:val="17"/>
                <w:szCs w:val="17"/>
                <w:lang w:val="ru-RU"/>
              </w:rPr>
              <w:t>з</w:t>
            </w:r>
            <w:r w:rsidRPr="00683B27">
              <w:rPr>
                <w:spacing w:val="-9"/>
                <w:sz w:val="17"/>
                <w:szCs w:val="17"/>
                <w:lang w:val="ru-RU"/>
              </w:rPr>
              <w:t xml:space="preserve"> </w:t>
            </w:r>
            <w:r w:rsidRPr="00683B27">
              <w:rPr>
                <w:sz w:val="17"/>
                <w:szCs w:val="17"/>
                <w:lang w:val="ru-RU"/>
              </w:rPr>
              <w:t xml:space="preserve">фіз. виховання і спорту, </w:t>
            </w:r>
            <w:r w:rsidRPr="00683B27">
              <w:rPr>
                <w:spacing w:val="-2"/>
                <w:sz w:val="17"/>
                <w:lang w:val="ru-RU"/>
              </w:rPr>
              <w:t>проф.</w:t>
            </w:r>
          </w:p>
        </w:tc>
        <w:tc>
          <w:tcPr>
            <w:tcW w:w="1271" w:type="dxa"/>
          </w:tcPr>
          <w:p w:rsidR="002F7167" w:rsidRPr="00425CF6" w:rsidRDefault="002F7167" w:rsidP="000E5F67">
            <w:pPr>
              <w:pStyle w:val="Default"/>
              <w:rPr>
                <w:color w:val="auto"/>
                <w:sz w:val="16"/>
                <w:szCs w:val="16"/>
              </w:rPr>
            </w:pPr>
            <w:r w:rsidRPr="00425CF6">
              <w:rPr>
                <w:color w:val="auto"/>
                <w:sz w:val="16"/>
                <w:szCs w:val="16"/>
              </w:rPr>
              <w:t xml:space="preserve">A. Aloshyna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 xml:space="preserve">Doctor of Science in Physical Education and Sport, Professor </w:t>
            </w:r>
          </w:p>
        </w:tc>
      </w:tr>
      <w:tr w:rsidR="002F7167" w:rsidRPr="00425CF6" w:rsidTr="000E5F67">
        <w:trPr>
          <w:trHeight w:val="391"/>
        </w:trPr>
        <w:tc>
          <w:tcPr>
            <w:tcW w:w="1358" w:type="dxa"/>
          </w:tcPr>
          <w:p w:rsidR="002F7167" w:rsidRPr="00E01E2B" w:rsidRDefault="002F7167" w:rsidP="000E5F67">
            <w:pPr>
              <w:pStyle w:val="TableParagraph"/>
              <w:spacing w:line="172" w:lineRule="exact"/>
              <w:ind w:left="50"/>
              <w:jc w:val="left"/>
              <w:rPr>
                <w:sz w:val="17"/>
                <w:lang w:val="uk-UA"/>
              </w:rPr>
            </w:pPr>
            <w:r w:rsidRPr="00E01E2B">
              <w:rPr>
                <w:sz w:val="17"/>
                <w:lang w:val="uk-UA"/>
              </w:rPr>
              <w:t>Р. Бойчук</w:t>
            </w:r>
          </w:p>
        </w:tc>
        <w:tc>
          <w:tcPr>
            <w:tcW w:w="2981" w:type="dxa"/>
          </w:tcPr>
          <w:p w:rsidR="002F7167" w:rsidRPr="00E01E2B" w:rsidRDefault="002F7167" w:rsidP="000E5F67">
            <w:pPr>
              <w:pStyle w:val="TableParagraph"/>
              <w:spacing w:line="172" w:lineRule="exact"/>
              <w:ind w:left="28" w:right="141"/>
              <w:jc w:val="both"/>
              <w:rPr>
                <w:sz w:val="17"/>
                <w:lang w:val="ru-RU"/>
              </w:rPr>
            </w:pPr>
            <w:r>
              <w:rPr>
                <w:sz w:val="17"/>
                <w:lang w:val="ru-RU"/>
              </w:rPr>
              <w:t>д-р пед. наук, профессор</w:t>
            </w:r>
          </w:p>
        </w:tc>
        <w:tc>
          <w:tcPr>
            <w:tcW w:w="1271" w:type="dxa"/>
          </w:tcPr>
          <w:p w:rsidR="002F7167" w:rsidRPr="00E01E2B" w:rsidRDefault="002F7167" w:rsidP="000E5F67">
            <w:pPr>
              <w:pStyle w:val="Default"/>
              <w:rPr>
                <w:color w:val="auto"/>
                <w:sz w:val="16"/>
                <w:szCs w:val="16"/>
              </w:rPr>
            </w:pPr>
            <w:r>
              <w:rPr>
                <w:color w:val="auto"/>
                <w:sz w:val="16"/>
                <w:szCs w:val="16"/>
              </w:rPr>
              <w:t>R. Boichuk</w:t>
            </w:r>
          </w:p>
        </w:tc>
        <w:tc>
          <w:tcPr>
            <w:tcW w:w="3407" w:type="dxa"/>
          </w:tcPr>
          <w:p w:rsidR="002F7167" w:rsidRPr="00E01E2B" w:rsidRDefault="002F7167" w:rsidP="000E5F67">
            <w:pPr>
              <w:pStyle w:val="Default"/>
              <w:jc w:val="both"/>
              <w:rPr>
                <w:color w:val="auto"/>
                <w:sz w:val="16"/>
                <w:szCs w:val="16"/>
              </w:rPr>
            </w:pPr>
            <w:r>
              <w:rPr>
                <w:color w:val="auto"/>
                <w:sz w:val="16"/>
                <w:szCs w:val="16"/>
              </w:rPr>
              <w:t xml:space="preserve">Doctor of Science in Pedagogy, </w:t>
            </w:r>
            <w:r w:rsidRPr="00425CF6">
              <w:rPr>
                <w:color w:val="auto"/>
                <w:sz w:val="16"/>
                <w:szCs w:val="16"/>
              </w:rPr>
              <w:t>Professor</w:t>
            </w:r>
            <w:r>
              <w:rPr>
                <w:color w:val="auto"/>
                <w:sz w:val="16"/>
                <w:szCs w:val="16"/>
              </w:rPr>
              <w:t xml:space="preserve"> </w:t>
            </w:r>
          </w:p>
        </w:tc>
      </w:tr>
      <w:tr w:rsidR="002F7167" w:rsidRPr="00425CF6" w:rsidTr="000E5F67">
        <w:trPr>
          <w:trHeight w:val="391"/>
        </w:trPr>
        <w:tc>
          <w:tcPr>
            <w:tcW w:w="1358" w:type="dxa"/>
          </w:tcPr>
          <w:p w:rsidR="002F7167" w:rsidRPr="00425CF6" w:rsidRDefault="002F7167" w:rsidP="000E5F67">
            <w:pPr>
              <w:pStyle w:val="TableParagraph"/>
              <w:spacing w:line="176" w:lineRule="exact"/>
              <w:ind w:left="50"/>
              <w:jc w:val="left"/>
              <w:rPr>
                <w:sz w:val="17"/>
              </w:rPr>
            </w:pPr>
            <w:r w:rsidRPr="00425CF6">
              <w:rPr>
                <w:sz w:val="17"/>
              </w:rPr>
              <w:t xml:space="preserve">Я. Яців </w:t>
            </w:r>
          </w:p>
        </w:tc>
        <w:tc>
          <w:tcPr>
            <w:tcW w:w="2981" w:type="dxa"/>
          </w:tcPr>
          <w:p w:rsidR="002F7167" w:rsidRPr="00425CF6" w:rsidRDefault="002F7167" w:rsidP="000E5F67">
            <w:pPr>
              <w:pStyle w:val="TableParagraph"/>
              <w:spacing w:line="176" w:lineRule="exact"/>
              <w:ind w:left="28" w:right="141"/>
              <w:jc w:val="both"/>
              <w:rPr>
                <w:sz w:val="17"/>
              </w:rPr>
            </w:pPr>
            <w:r w:rsidRPr="00425CF6">
              <w:rPr>
                <w:sz w:val="17"/>
              </w:rPr>
              <w:t>канд.</w:t>
            </w:r>
            <w:r w:rsidRPr="00425CF6">
              <w:rPr>
                <w:spacing w:val="-4"/>
                <w:sz w:val="17"/>
              </w:rPr>
              <w:t xml:space="preserve"> </w:t>
            </w:r>
            <w:r w:rsidRPr="00425CF6">
              <w:rPr>
                <w:sz w:val="17"/>
              </w:rPr>
              <w:t>пед.</w:t>
            </w:r>
            <w:r w:rsidRPr="00425CF6">
              <w:rPr>
                <w:spacing w:val="-4"/>
                <w:sz w:val="17"/>
              </w:rPr>
              <w:t xml:space="preserve"> </w:t>
            </w:r>
            <w:r w:rsidRPr="00425CF6">
              <w:rPr>
                <w:sz w:val="17"/>
              </w:rPr>
              <w:t>наук, проф.</w:t>
            </w:r>
          </w:p>
        </w:tc>
        <w:tc>
          <w:tcPr>
            <w:tcW w:w="1271" w:type="dxa"/>
          </w:tcPr>
          <w:p w:rsidR="002F7167" w:rsidRPr="00425CF6" w:rsidRDefault="002F7167" w:rsidP="000E5F67">
            <w:pPr>
              <w:pStyle w:val="Default"/>
              <w:rPr>
                <w:color w:val="auto"/>
                <w:sz w:val="16"/>
                <w:szCs w:val="16"/>
              </w:rPr>
            </w:pPr>
            <w:r w:rsidRPr="00425CF6">
              <w:rPr>
                <w:color w:val="auto"/>
                <w:sz w:val="16"/>
                <w:szCs w:val="16"/>
              </w:rPr>
              <w:t xml:space="preserve">Y. Yatsiv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Candidate of Pedagogic Sciences, Professor</w:t>
            </w:r>
          </w:p>
        </w:tc>
      </w:tr>
      <w:tr w:rsidR="002F7167" w:rsidRPr="00425CF6" w:rsidTr="000E5F67">
        <w:trPr>
          <w:trHeight w:val="391"/>
        </w:trPr>
        <w:tc>
          <w:tcPr>
            <w:tcW w:w="1358" w:type="dxa"/>
          </w:tcPr>
          <w:p w:rsidR="002F7167" w:rsidRPr="00425CF6" w:rsidRDefault="002F7167" w:rsidP="000E5F67">
            <w:pPr>
              <w:pStyle w:val="TableParagraph"/>
              <w:spacing w:line="193" w:lineRule="exact"/>
              <w:ind w:left="50"/>
              <w:jc w:val="left"/>
              <w:rPr>
                <w:sz w:val="17"/>
              </w:rPr>
            </w:pPr>
            <w:r w:rsidRPr="00425CF6">
              <w:rPr>
                <w:sz w:val="17"/>
              </w:rPr>
              <w:t xml:space="preserve">П. </w:t>
            </w:r>
            <w:r w:rsidRPr="00425CF6">
              <w:rPr>
                <w:spacing w:val="-2"/>
                <w:sz w:val="17"/>
              </w:rPr>
              <w:t>Круль</w:t>
            </w:r>
          </w:p>
        </w:tc>
        <w:tc>
          <w:tcPr>
            <w:tcW w:w="2981" w:type="dxa"/>
          </w:tcPr>
          <w:p w:rsidR="002F7167" w:rsidRPr="00425CF6" w:rsidRDefault="002F7167" w:rsidP="000E5F67">
            <w:pPr>
              <w:pStyle w:val="TableParagraph"/>
              <w:spacing w:line="194" w:lineRule="exact"/>
              <w:ind w:left="28" w:right="141"/>
              <w:jc w:val="both"/>
              <w:rPr>
                <w:sz w:val="17"/>
              </w:rPr>
            </w:pPr>
            <w:r w:rsidRPr="00683B27">
              <w:rPr>
                <w:sz w:val="17"/>
                <w:lang w:val="ru-RU"/>
              </w:rPr>
              <w:t>д-р</w:t>
            </w:r>
            <w:r w:rsidRPr="00683B27">
              <w:rPr>
                <w:spacing w:val="-11"/>
                <w:sz w:val="17"/>
                <w:lang w:val="ru-RU"/>
              </w:rPr>
              <w:t xml:space="preserve"> </w:t>
            </w:r>
            <w:r w:rsidRPr="00683B27">
              <w:rPr>
                <w:sz w:val="17"/>
                <w:lang w:val="ru-RU"/>
              </w:rPr>
              <w:t>габілітований</w:t>
            </w:r>
            <w:r w:rsidRPr="00683B27">
              <w:rPr>
                <w:spacing w:val="-11"/>
                <w:sz w:val="17"/>
                <w:lang w:val="ru-RU"/>
              </w:rPr>
              <w:t xml:space="preserve"> </w:t>
            </w:r>
            <w:r w:rsidRPr="00683B27">
              <w:rPr>
                <w:sz w:val="17"/>
                <w:lang w:val="ru-RU"/>
              </w:rPr>
              <w:t>з</w:t>
            </w:r>
            <w:r w:rsidRPr="00683B27">
              <w:rPr>
                <w:spacing w:val="-10"/>
                <w:sz w:val="17"/>
                <w:lang w:val="ru-RU"/>
              </w:rPr>
              <w:t xml:space="preserve"> </w:t>
            </w:r>
            <w:r w:rsidRPr="00683B27">
              <w:rPr>
                <w:sz w:val="17"/>
                <w:lang w:val="ru-RU"/>
              </w:rPr>
              <w:t xml:space="preserve">фізичої культури, проф. </w:t>
            </w:r>
            <w:r w:rsidRPr="00425CF6">
              <w:rPr>
                <w:sz w:val="17"/>
              </w:rPr>
              <w:t>(</w:t>
            </w:r>
            <w:r w:rsidRPr="00425CF6">
              <w:rPr>
                <w:i/>
                <w:sz w:val="17"/>
              </w:rPr>
              <w:t>Польща</w:t>
            </w:r>
            <w:r w:rsidRPr="00425CF6">
              <w:rPr>
                <w:sz w:val="17"/>
              </w:rPr>
              <w:t>)</w:t>
            </w:r>
          </w:p>
        </w:tc>
        <w:tc>
          <w:tcPr>
            <w:tcW w:w="1271" w:type="dxa"/>
          </w:tcPr>
          <w:p w:rsidR="002F7167" w:rsidRPr="00425CF6" w:rsidRDefault="002F7167" w:rsidP="000E5F67">
            <w:pPr>
              <w:pStyle w:val="Default"/>
              <w:rPr>
                <w:color w:val="auto"/>
                <w:sz w:val="16"/>
                <w:szCs w:val="16"/>
              </w:rPr>
            </w:pPr>
            <w:r w:rsidRPr="00425CF6">
              <w:rPr>
                <w:color w:val="auto"/>
                <w:sz w:val="16"/>
                <w:szCs w:val="16"/>
              </w:rPr>
              <w:t xml:space="preserve">P. Krul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Doctor habilitowany of Science in Physical Education and Sport, Professor (</w:t>
            </w:r>
            <w:r w:rsidRPr="00425CF6">
              <w:rPr>
                <w:i/>
                <w:iCs/>
                <w:color w:val="auto"/>
                <w:sz w:val="16"/>
                <w:szCs w:val="16"/>
              </w:rPr>
              <w:t>Poland</w:t>
            </w:r>
            <w:r w:rsidRPr="00425CF6">
              <w:rPr>
                <w:color w:val="auto"/>
                <w:sz w:val="16"/>
                <w:szCs w:val="16"/>
              </w:rPr>
              <w:t xml:space="preserve">) </w:t>
            </w:r>
          </w:p>
        </w:tc>
      </w:tr>
      <w:tr w:rsidR="002F7167" w:rsidRPr="00425CF6" w:rsidTr="000E5F67">
        <w:trPr>
          <w:trHeight w:val="195"/>
        </w:trPr>
        <w:tc>
          <w:tcPr>
            <w:tcW w:w="1358" w:type="dxa"/>
          </w:tcPr>
          <w:p w:rsidR="002F7167" w:rsidRPr="00425CF6" w:rsidRDefault="002F7167" w:rsidP="000E5F67">
            <w:pPr>
              <w:pStyle w:val="TableParagraph"/>
              <w:spacing w:line="191" w:lineRule="exact"/>
              <w:ind w:left="50"/>
              <w:jc w:val="left"/>
              <w:rPr>
                <w:sz w:val="17"/>
              </w:rPr>
            </w:pPr>
            <w:r w:rsidRPr="00425CF6">
              <w:rPr>
                <w:sz w:val="17"/>
              </w:rPr>
              <w:t>В.</w:t>
            </w:r>
            <w:r w:rsidRPr="00425CF6">
              <w:rPr>
                <w:spacing w:val="2"/>
                <w:sz w:val="17"/>
              </w:rPr>
              <w:t xml:space="preserve"> </w:t>
            </w:r>
            <w:r w:rsidRPr="00425CF6">
              <w:rPr>
                <w:spacing w:val="-2"/>
                <w:sz w:val="17"/>
              </w:rPr>
              <w:t>Ч</w:t>
            </w:r>
            <w:r>
              <w:rPr>
                <w:spacing w:val="-2"/>
                <w:sz w:val="17"/>
                <w:lang w:val="uk-UA"/>
              </w:rPr>
              <w:t>а</w:t>
            </w:r>
            <w:r w:rsidRPr="00425CF6">
              <w:rPr>
                <w:spacing w:val="-2"/>
                <w:sz w:val="17"/>
              </w:rPr>
              <w:t>рний</w:t>
            </w:r>
          </w:p>
        </w:tc>
        <w:tc>
          <w:tcPr>
            <w:tcW w:w="2981" w:type="dxa"/>
          </w:tcPr>
          <w:p w:rsidR="002F7167" w:rsidRPr="00425CF6" w:rsidRDefault="002F7167" w:rsidP="000E5F67">
            <w:pPr>
              <w:pStyle w:val="TableParagraph"/>
              <w:spacing w:line="191" w:lineRule="exact"/>
              <w:ind w:left="28" w:right="141"/>
              <w:jc w:val="both"/>
              <w:rPr>
                <w:sz w:val="17"/>
              </w:rPr>
            </w:pPr>
            <w:r w:rsidRPr="00683B27">
              <w:rPr>
                <w:sz w:val="17"/>
                <w:lang w:val="ru-RU"/>
              </w:rPr>
              <w:t>д-р</w:t>
            </w:r>
            <w:r w:rsidRPr="00683B27">
              <w:rPr>
                <w:spacing w:val="-2"/>
                <w:sz w:val="17"/>
                <w:lang w:val="ru-RU"/>
              </w:rPr>
              <w:t xml:space="preserve"> </w:t>
            </w:r>
            <w:r w:rsidRPr="00683B27">
              <w:rPr>
                <w:sz w:val="17"/>
                <w:lang w:val="ru-RU"/>
              </w:rPr>
              <w:t>габілітований</w:t>
            </w:r>
            <w:r w:rsidRPr="00683B27">
              <w:rPr>
                <w:spacing w:val="-4"/>
                <w:sz w:val="17"/>
                <w:lang w:val="ru-RU"/>
              </w:rPr>
              <w:t xml:space="preserve"> </w:t>
            </w:r>
            <w:r w:rsidRPr="00683B27">
              <w:rPr>
                <w:sz w:val="17"/>
                <w:lang w:val="ru-RU"/>
              </w:rPr>
              <w:t>з</w:t>
            </w:r>
            <w:r w:rsidRPr="00683B27">
              <w:rPr>
                <w:spacing w:val="-2"/>
                <w:sz w:val="17"/>
                <w:lang w:val="ru-RU"/>
              </w:rPr>
              <w:t xml:space="preserve"> фізичної </w:t>
            </w:r>
            <w:r w:rsidRPr="00683B27">
              <w:rPr>
                <w:sz w:val="17"/>
                <w:lang w:val="ru-RU"/>
              </w:rPr>
              <w:t>культури,</w:t>
            </w:r>
            <w:r w:rsidRPr="00683B27">
              <w:rPr>
                <w:spacing w:val="-6"/>
                <w:sz w:val="17"/>
                <w:lang w:val="ru-RU"/>
              </w:rPr>
              <w:t xml:space="preserve"> </w:t>
            </w:r>
            <w:r w:rsidRPr="00683B27">
              <w:rPr>
                <w:sz w:val="17"/>
                <w:lang w:val="ru-RU"/>
              </w:rPr>
              <w:t>проф.</w:t>
            </w:r>
            <w:r w:rsidRPr="00683B27">
              <w:rPr>
                <w:spacing w:val="-3"/>
                <w:sz w:val="17"/>
                <w:lang w:val="ru-RU"/>
              </w:rPr>
              <w:t xml:space="preserve"> </w:t>
            </w:r>
            <w:r w:rsidRPr="00425CF6">
              <w:rPr>
                <w:spacing w:val="-2"/>
                <w:sz w:val="17"/>
              </w:rPr>
              <w:t>(</w:t>
            </w:r>
            <w:r w:rsidRPr="00425CF6">
              <w:rPr>
                <w:i/>
                <w:spacing w:val="-2"/>
                <w:sz w:val="17"/>
              </w:rPr>
              <w:t>Польща</w:t>
            </w:r>
            <w:r w:rsidRPr="00425CF6">
              <w:rPr>
                <w:spacing w:val="-2"/>
                <w:sz w:val="17"/>
              </w:rPr>
              <w:t>)</w:t>
            </w:r>
          </w:p>
        </w:tc>
        <w:tc>
          <w:tcPr>
            <w:tcW w:w="1271" w:type="dxa"/>
          </w:tcPr>
          <w:p w:rsidR="002F7167" w:rsidRPr="00425CF6" w:rsidRDefault="002F7167" w:rsidP="000E5F67">
            <w:pPr>
              <w:pStyle w:val="Default"/>
              <w:rPr>
                <w:color w:val="auto"/>
                <w:sz w:val="16"/>
                <w:szCs w:val="16"/>
              </w:rPr>
            </w:pPr>
            <w:r w:rsidRPr="00425CF6">
              <w:rPr>
                <w:color w:val="auto"/>
                <w:sz w:val="16"/>
                <w:szCs w:val="16"/>
              </w:rPr>
              <w:t xml:space="preserve">V. Chornyi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Doctor habilitowany in Physical Education and Sport, Professor (</w:t>
            </w:r>
            <w:r w:rsidRPr="00425CF6">
              <w:rPr>
                <w:i/>
                <w:iCs/>
                <w:color w:val="auto"/>
                <w:sz w:val="16"/>
                <w:szCs w:val="16"/>
              </w:rPr>
              <w:t>Poland</w:t>
            </w:r>
            <w:r w:rsidRPr="00425CF6">
              <w:rPr>
                <w:color w:val="auto"/>
                <w:sz w:val="16"/>
                <w:szCs w:val="16"/>
              </w:rPr>
              <w:t xml:space="preserve">) </w:t>
            </w:r>
          </w:p>
        </w:tc>
      </w:tr>
      <w:tr w:rsidR="002F7167" w:rsidRPr="00425CF6" w:rsidTr="000E5F67">
        <w:trPr>
          <w:trHeight w:val="393"/>
        </w:trPr>
        <w:tc>
          <w:tcPr>
            <w:tcW w:w="1358" w:type="dxa"/>
          </w:tcPr>
          <w:p w:rsidR="002F7167" w:rsidRPr="00425CF6" w:rsidRDefault="002F7167" w:rsidP="000E5F67">
            <w:pPr>
              <w:pStyle w:val="TableParagraph"/>
              <w:spacing w:line="193" w:lineRule="exact"/>
              <w:ind w:left="50"/>
              <w:jc w:val="left"/>
              <w:rPr>
                <w:sz w:val="17"/>
              </w:rPr>
            </w:pPr>
            <w:r w:rsidRPr="00425CF6">
              <w:rPr>
                <w:sz w:val="17"/>
              </w:rPr>
              <w:t>Г.Г.</w:t>
            </w:r>
            <w:r w:rsidRPr="00425CF6">
              <w:rPr>
                <w:spacing w:val="1"/>
                <w:sz w:val="17"/>
              </w:rPr>
              <w:t xml:space="preserve"> </w:t>
            </w:r>
            <w:r w:rsidRPr="00425CF6">
              <w:rPr>
                <w:spacing w:val="-2"/>
                <w:sz w:val="17"/>
              </w:rPr>
              <w:t>Карлос</w:t>
            </w:r>
          </w:p>
        </w:tc>
        <w:tc>
          <w:tcPr>
            <w:tcW w:w="2981" w:type="dxa"/>
          </w:tcPr>
          <w:p w:rsidR="002F7167" w:rsidRPr="00425CF6" w:rsidRDefault="002F7167" w:rsidP="000E5F67">
            <w:pPr>
              <w:pStyle w:val="TableParagraph"/>
              <w:spacing w:line="194" w:lineRule="exact"/>
              <w:ind w:left="28" w:right="141"/>
              <w:jc w:val="both"/>
              <w:rPr>
                <w:sz w:val="17"/>
              </w:rPr>
            </w:pPr>
            <w:r w:rsidRPr="00425CF6">
              <w:rPr>
                <w:sz w:val="17"/>
              </w:rPr>
              <w:t xml:space="preserve">д-р філософії з фізичної активності та спорту, доцент </w:t>
            </w:r>
            <w:r w:rsidRPr="00425CF6">
              <w:rPr>
                <w:i/>
                <w:sz w:val="17"/>
              </w:rPr>
              <w:t>(Іспанія)</w:t>
            </w:r>
          </w:p>
        </w:tc>
        <w:tc>
          <w:tcPr>
            <w:tcW w:w="1271" w:type="dxa"/>
          </w:tcPr>
          <w:p w:rsidR="002F7167" w:rsidRPr="00425CF6" w:rsidRDefault="002F7167" w:rsidP="000E5F67">
            <w:pPr>
              <w:pStyle w:val="Default"/>
              <w:rPr>
                <w:color w:val="auto"/>
                <w:sz w:val="16"/>
                <w:szCs w:val="16"/>
              </w:rPr>
            </w:pPr>
            <w:r w:rsidRPr="00425CF6">
              <w:rPr>
                <w:color w:val="auto"/>
                <w:sz w:val="16"/>
                <w:szCs w:val="16"/>
              </w:rPr>
              <w:t>G.G.</w:t>
            </w:r>
            <w:r w:rsidRPr="00425CF6">
              <w:rPr>
                <w:color w:val="auto"/>
                <w:sz w:val="16"/>
                <w:szCs w:val="16"/>
                <w:lang w:val="uk-UA"/>
              </w:rPr>
              <w:t xml:space="preserve"> </w:t>
            </w:r>
            <w:r w:rsidRPr="00425CF6">
              <w:rPr>
                <w:color w:val="auto"/>
                <w:sz w:val="16"/>
                <w:szCs w:val="16"/>
              </w:rPr>
              <w:t xml:space="preserve">Carlos </w:t>
            </w:r>
          </w:p>
        </w:tc>
        <w:tc>
          <w:tcPr>
            <w:tcW w:w="3407" w:type="dxa"/>
          </w:tcPr>
          <w:p w:rsidR="002F7167" w:rsidRPr="00425CF6" w:rsidRDefault="002F7167" w:rsidP="000E5F67">
            <w:pPr>
              <w:pStyle w:val="Default"/>
              <w:jc w:val="both"/>
              <w:rPr>
                <w:color w:val="auto"/>
                <w:sz w:val="16"/>
                <w:szCs w:val="16"/>
              </w:rPr>
            </w:pPr>
            <w:r w:rsidRPr="00425CF6">
              <w:rPr>
                <w:color w:val="auto"/>
                <w:sz w:val="16"/>
                <w:szCs w:val="16"/>
              </w:rPr>
              <w:t>PhD in Physical Activity and Sport Sciences</w:t>
            </w:r>
          </w:p>
          <w:p w:rsidR="002F7167" w:rsidRPr="00425CF6" w:rsidRDefault="002F7167" w:rsidP="000E5F67">
            <w:pPr>
              <w:pStyle w:val="Default"/>
              <w:jc w:val="both"/>
              <w:rPr>
                <w:color w:val="auto"/>
                <w:sz w:val="16"/>
                <w:szCs w:val="16"/>
                <w:lang w:val="uk-UA"/>
              </w:rPr>
            </w:pPr>
            <w:r w:rsidRPr="00425CF6">
              <w:rPr>
                <w:color w:val="auto"/>
                <w:sz w:val="16"/>
                <w:szCs w:val="16"/>
              </w:rPr>
              <w:t xml:space="preserve">Associate Professor of Department of Physical and Sport Education, University of León, </w:t>
            </w:r>
            <w:r w:rsidRPr="00425CF6">
              <w:rPr>
                <w:color w:val="auto"/>
                <w:sz w:val="16"/>
                <w:szCs w:val="16"/>
                <w:lang w:val="uk-UA"/>
              </w:rPr>
              <w:t>(</w:t>
            </w:r>
            <w:r w:rsidRPr="00425CF6">
              <w:rPr>
                <w:i/>
                <w:color w:val="auto"/>
                <w:sz w:val="16"/>
                <w:szCs w:val="16"/>
              </w:rPr>
              <w:t>Spain</w:t>
            </w:r>
            <w:r w:rsidRPr="00425CF6">
              <w:rPr>
                <w:color w:val="auto"/>
                <w:sz w:val="16"/>
                <w:szCs w:val="16"/>
                <w:lang w:val="uk-UA"/>
              </w:rPr>
              <w:t>)</w:t>
            </w:r>
          </w:p>
        </w:tc>
      </w:tr>
      <w:tr w:rsidR="002F7167" w:rsidRPr="00425CF6" w:rsidTr="000E5F67">
        <w:trPr>
          <w:trHeight w:val="191"/>
        </w:trPr>
        <w:tc>
          <w:tcPr>
            <w:tcW w:w="1358" w:type="dxa"/>
          </w:tcPr>
          <w:p w:rsidR="002F7167" w:rsidRPr="000D3570" w:rsidRDefault="002F7167" w:rsidP="000E5F67">
            <w:pPr>
              <w:pStyle w:val="TableParagraph"/>
              <w:spacing w:line="193" w:lineRule="exact"/>
              <w:ind w:left="50"/>
              <w:jc w:val="left"/>
              <w:rPr>
                <w:sz w:val="17"/>
              </w:rPr>
            </w:pPr>
            <w:r w:rsidRPr="000D3570">
              <w:rPr>
                <w:sz w:val="17"/>
              </w:rPr>
              <w:t>Е</w:t>
            </w:r>
            <w:r>
              <w:rPr>
                <w:sz w:val="17"/>
                <w:lang w:val="uk-UA"/>
              </w:rPr>
              <w:t>.</w:t>
            </w:r>
            <w:r w:rsidRPr="000D3570">
              <w:rPr>
                <w:sz w:val="17"/>
              </w:rPr>
              <w:t xml:space="preserve"> Дженгізель   </w:t>
            </w:r>
          </w:p>
        </w:tc>
        <w:tc>
          <w:tcPr>
            <w:tcW w:w="2981" w:type="dxa"/>
          </w:tcPr>
          <w:p w:rsidR="002F7167" w:rsidRPr="001B7C2D" w:rsidRDefault="002F7167" w:rsidP="000E5F67">
            <w:pPr>
              <w:pStyle w:val="TableParagraph"/>
              <w:spacing w:line="193" w:lineRule="exact"/>
              <w:ind w:left="50"/>
              <w:jc w:val="left"/>
              <w:rPr>
                <w:sz w:val="17"/>
                <w:lang w:val="ru-RU"/>
              </w:rPr>
            </w:pPr>
            <w:r w:rsidRPr="001B7C2D">
              <w:rPr>
                <w:sz w:val="17"/>
                <w:lang w:val="ru-RU"/>
              </w:rPr>
              <w:t xml:space="preserve">доктор наук з фізичної культури та спорту, доцент, Газі університет (Туреччина) </w:t>
            </w:r>
          </w:p>
        </w:tc>
        <w:tc>
          <w:tcPr>
            <w:tcW w:w="1271" w:type="dxa"/>
          </w:tcPr>
          <w:p w:rsidR="002F7167" w:rsidRPr="00425CF6" w:rsidRDefault="002F7167" w:rsidP="000E5F67">
            <w:pPr>
              <w:pStyle w:val="Default"/>
              <w:rPr>
                <w:color w:val="auto"/>
                <w:sz w:val="16"/>
                <w:szCs w:val="16"/>
              </w:rPr>
            </w:pPr>
            <w:r w:rsidRPr="000D3570">
              <w:rPr>
                <w:color w:val="auto"/>
                <w:sz w:val="16"/>
                <w:szCs w:val="16"/>
              </w:rPr>
              <w:t>E</w:t>
            </w:r>
            <w:r>
              <w:rPr>
                <w:color w:val="auto"/>
                <w:sz w:val="16"/>
                <w:szCs w:val="16"/>
                <w:lang w:val="uk-UA"/>
              </w:rPr>
              <w:t>.</w:t>
            </w:r>
            <w:r w:rsidRPr="000D3570">
              <w:rPr>
                <w:color w:val="auto"/>
                <w:sz w:val="16"/>
                <w:szCs w:val="16"/>
              </w:rPr>
              <w:t xml:space="preserve"> Cengizel</w:t>
            </w:r>
          </w:p>
        </w:tc>
        <w:tc>
          <w:tcPr>
            <w:tcW w:w="3407" w:type="dxa"/>
          </w:tcPr>
          <w:p w:rsidR="002F7167" w:rsidRPr="00425CF6" w:rsidRDefault="002F7167" w:rsidP="000E5F67">
            <w:pPr>
              <w:pStyle w:val="Default"/>
              <w:jc w:val="both"/>
              <w:rPr>
                <w:color w:val="auto"/>
                <w:sz w:val="16"/>
                <w:szCs w:val="16"/>
              </w:rPr>
            </w:pPr>
            <w:r w:rsidRPr="000D3570">
              <w:rPr>
                <w:color w:val="auto"/>
                <w:sz w:val="16"/>
                <w:szCs w:val="16"/>
              </w:rPr>
              <w:t>Doctor of Science in Physical Education and Sport, Ass.Prof., Gazi University (</w:t>
            </w:r>
            <w:r w:rsidRPr="000D3570">
              <w:rPr>
                <w:i/>
                <w:color w:val="auto"/>
                <w:sz w:val="16"/>
                <w:szCs w:val="16"/>
              </w:rPr>
              <w:t>Turkiye</w:t>
            </w:r>
            <w:r w:rsidRPr="000D3570">
              <w:rPr>
                <w:color w:val="auto"/>
                <w:sz w:val="16"/>
                <w:szCs w:val="16"/>
              </w:rPr>
              <w:t>)</w:t>
            </w:r>
          </w:p>
        </w:tc>
      </w:tr>
      <w:tr w:rsidR="002F7167" w:rsidRPr="00E01E2B" w:rsidTr="000E5F67">
        <w:trPr>
          <w:trHeight w:val="191"/>
        </w:trPr>
        <w:tc>
          <w:tcPr>
            <w:tcW w:w="1358" w:type="dxa"/>
          </w:tcPr>
          <w:p w:rsidR="002F7167" w:rsidRPr="00E01E2B" w:rsidRDefault="002F7167" w:rsidP="000E5F67">
            <w:pPr>
              <w:pStyle w:val="TableParagraph"/>
              <w:spacing w:line="172" w:lineRule="exact"/>
              <w:ind w:left="50"/>
              <w:jc w:val="left"/>
              <w:rPr>
                <w:sz w:val="17"/>
                <w:lang w:val="uk-UA"/>
              </w:rPr>
            </w:pPr>
          </w:p>
        </w:tc>
        <w:tc>
          <w:tcPr>
            <w:tcW w:w="2981" w:type="dxa"/>
          </w:tcPr>
          <w:p w:rsidR="002F7167" w:rsidRPr="000D3570" w:rsidRDefault="002F7167" w:rsidP="000E5F67">
            <w:pPr>
              <w:pStyle w:val="TableParagraph"/>
              <w:spacing w:line="172" w:lineRule="exact"/>
              <w:ind w:left="28" w:right="141"/>
              <w:jc w:val="both"/>
              <w:rPr>
                <w:sz w:val="17"/>
              </w:rPr>
            </w:pPr>
          </w:p>
        </w:tc>
        <w:tc>
          <w:tcPr>
            <w:tcW w:w="1271" w:type="dxa"/>
          </w:tcPr>
          <w:p w:rsidR="002F7167" w:rsidRPr="00E01E2B" w:rsidRDefault="002F7167" w:rsidP="000E5F67">
            <w:pPr>
              <w:pStyle w:val="Default"/>
              <w:rPr>
                <w:color w:val="auto"/>
                <w:sz w:val="16"/>
                <w:szCs w:val="16"/>
              </w:rPr>
            </w:pPr>
          </w:p>
        </w:tc>
        <w:tc>
          <w:tcPr>
            <w:tcW w:w="3407" w:type="dxa"/>
          </w:tcPr>
          <w:p w:rsidR="002F7167" w:rsidRPr="00E01E2B" w:rsidRDefault="002F7167" w:rsidP="000E5F67">
            <w:pPr>
              <w:pStyle w:val="Default"/>
              <w:jc w:val="both"/>
              <w:rPr>
                <w:color w:val="auto"/>
                <w:sz w:val="16"/>
                <w:szCs w:val="16"/>
              </w:rPr>
            </w:pPr>
          </w:p>
        </w:tc>
      </w:tr>
    </w:tbl>
    <w:p w:rsidR="002F7167" w:rsidRDefault="002F7167" w:rsidP="006B25AB">
      <w:pPr>
        <w:tabs>
          <w:tab w:val="left" w:pos="2560"/>
        </w:tabs>
        <w:spacing w:after="0"/>
        <w:rPr>
          <w:sz w:val="16"/>
        </w:rPr>
      </w:pPr>
    </w:p>
    <w:p w:rsidR="002F7167" w:rsidRDefault="002F7167" w:rsidP="006B25AB">
      <w:pPr>
        <w:tabs>
          <w:tab w:val="left" w:pos="2560"/>
        </w:tabs>
        <w:spacing w:after="0"/>
        <w:rPr>
          <w:sz w:val="16"/>
        </w:rPr>
      </w:pPr>
    </w:p>
    <w:p w:rsidR="006B25AB" w:rsidRPr="00425CF6" w:rsidRDefault="006B25AB" w:rsidP="006B25AB">
      <w:pPr>
        <w:tabs>
          <w:tab w:val="left" w:pos="2560"/>
        </w:tabs>
        <w:spacing w:after="0"/>
        <w:rPr>
          <w:sz w:val="16"/>
        </w:rPr>
      </w:pPr>
      <w:r w:rsidRPr="00425CF6">
        <w:rPr>
          <w:b/>
          <w:sz w:val="16"/>
        </w:rPr>
        <w:t>Адреса</w:t>
      </w:r>
      <w:r w:rsidRPr="00425CF6">
        <w:rPr>
          <w:b/>
          <w:spacing w:val="-7"/>
          <w:sz w:val="16"/>
        </w:rPr>
        <w:t xml:space="preserve"> </w:t>
      </w:r>
      <w:r w:rsidRPr="00425CF6">
        <w:rPr>
          <w:b/>
          <w:sz w:val="16"/>
        </w:rPr>
        <w:t>редакційної</w:t>
      </w:r>
      <w:r w:rsidRPr="00425CF6">
        <w:rPr>
          <w:b/>
          <w:spacing w:val="-7"/>
          <w:sz w:val="16"/>
        </w:rPr>
        <w:t xml:space="preserve"> </w:t>
      </w:r>
      <w:r w:rsidRPr="00425CF6">
        <w:rPr>
          <w:b/>
          <w:spacing w:val="-2"/>
          <w:sz w:val="16"/>
        </w:rPr>
        <w:t>колегії:</w:t>
      </w:r>
      <w:r w:rsidRPr="00425CF6">
        <w:rPr>
          <w:b/>
          <w:sz w:val="16"/>
        </w:rPr>
        <w:tab/>
      </w:r>
      <w:r w:rsidRPr="00425CF6">
        <w:rPr>
          <w:sz w:val="16"/>
        </w:rPr>
        <w:t>76018,</w:t>
      </w:r>
      <w:r w:rsidRPr="00425CF6">
        <w:rPr>
          <w:spacing w:val="-8"/>
          <w:sz w:val="16"/>
        </w:rPr>
        <w:t xml:space="preserve"> </w:t>
      </w:r>
      <w:r w:rsidRPr="00425CF6">
        <w:rPr>
          <w:sz w:val="16"/>
        </w:rPr>
        <w:t>Івано-Франківськ,</w:t>
      </w:r>
      <w:r w:rsidRPr="00425CF6">
        <w:rPr>
          <w:spacing w:val="-9"/>
          <w:sz w:val="16"/>
        </w:rPr>
        <w:t xml:space="preserve"> </w:t>
      </w:r>
      <w:r w:rsidRPr="00425CF6">
        <w:rPr>
          <w:sz w:val="16"/>
        </w:rPr>
        <w:t>вул.</w:t>
      </w:r>
      <w:r w:rsidRPr="00425CF6">
        <w:rPr>
          <w:spacing w:val="-7"/>
          <w:sz w:val="16"/>
        </w:rPr>
        <w:t xml:space="preserve"> </w:t>
      </w:r>
      <w:r w:rsidRPr="00425CF6">
        <w:rPr>
          <w:sz w:val="16"/>
        </w:rPr>
        <w:t>Шевченка,</w:t>
      </w:r>
      <w:r w:rsidRPr="00425CF6">
        <w:rPr>
          <w:spacing w:val="-9"/>
          <w:sz w:val="16"/>
        </w:rPr>
        <w:t xml:space="preserve"> </w:t>
      </w:r>
      <w:r w:rsidRPr="00425CF6">
        <w:rPr>
          <w:spacing w:val="-5"/>
          <w:sz w:val="16"/>
        </w:rPr>
        <w:t>57</w:t>
      </w:r>
    </w:p>
    <w:p w:rsidR="006B25AB" w:rsidRPr="00425CF6" w:rsidRDefault="006B25AB" w:rsidP="006B25AB">
      <w:pPr>
        <w:spacing w:after="0"/>
        <w:ind w:left="1843" w:right="143" w:firstLine="708"/>
        <w:rPr>
          <w:sz w:val="16"/>
        </w:rPr>
      </w:pPr>
      <w:r>
        <w:rPr>
          <w:sz w:val="16"/>
        </w:rPr>
        <w:t>К</w:t>
      </w:r>
      <w:r w:rsidRPr="00425CF6">
        <w:rPr>
          <w:sz w:val="16"/>
        </w:rPr>
        <w:t>арпатський</w:t>
      </w:r>
      <w:r w:rsidRPr="00425CF6">
        <w:rPr>
          <w:spacing w:val="-9"/>
          <w:sz w:val="16"/>
        </w:rPr>
        <w:t xml:space="preserve"> </w:t>
      </w:r>
      <w:r w:rsidRPr="00425CF6">
        <w:rPr>
          <w:sz w:val="16"/>
        </w:rPr>
        <w:t>національний</w:t>
      </w:r>
      <w:r w:rsidRPr="00425CF6">
        <w:rPr>
          <w:spacing w:val="-8"/>
          <w:sz w:val="16"/>
        </w:rPr>
        <w:t xml:space="preserve"> </w:t>
      </w:r>
      <w:r w:rsidRPr="00425CF6">
        <w:rPr>
          <w:sz w:val="16"/>
        </w:rPr>
        <w:t>університет</w:t>
      </w:r>
      <w:r w:rsidRPr="00425CF6">
        <w:rPr>
          <w:spacing w:val="-8"/>
          <w:sz w:val="16"/>
        </w:rPr>
        <w:t xml:space="preserve"> </w:t>
      </w:r>
      <w:r w:rsidRPr="00425CF6">
        <w:rPr>
          <w:sz w:val="16"/>
        </w:rPr>
        <w:t>імені</w:t>
      </w:r>
      <w:r w:rsidRPr="00425CF6">
        <w:rPr>
          <w:spacing w:val="-9"/>
          <w:sz w:val="16"/>
        </w:rPr>
        <w:t xml:space="preserve"> </w:t>
      </w:r>
      <w:r w:rsidRPr="00425CF6">
        <w:rPr>
          <w:sz w:val="16"/>
        </w:rPr>
        <w:t>Василя</w:t>
      </w:r>
      <w:r w:rsidRPr="00425CF6">
        <w:rPr>
          <w:spacing w:val="-9"/>
          <w:sz w:val="16"/>
        </w:rPr>
        <w:t xml:space="preserve"> </w:t>
      </w:r>
      <w:r w:rsidRPr="00425CF6">
        <w:rPr>
          <w:spacing w:val="-2"/>
          <w:sz w:val="16"/>
        </w:rPr>
        <w:t>Стефаника</w:t>
      </w:r>
    </w:p>
    <w:p w:rsidR="006B25AB" w:rsidRPr="00425CF6" w:rsidRDefault="006B25AB" w:rsidP="006B25AB">
      <w:pPr>
        <w:pStyle w:val="a3"/>
        <w:spacing w:after="0"/>
        <w:rPr>
          <w:sz w:val="16"/>
        </w:rPr>
      </w:pPr>
    </w:p>
    <w:p w:rsidR="006B25AB" w:rsidRPr="00425CF6" w:rsidRDefault="006B25AB" w:rsidP="00D97092">
      <w:pPr>
        <w:spacing w:after="0" w:line="253" w:lineRule="exact"/>
        <w:jc w:val="both"/>
        <w:rPr>
          <w:b/>
        </w:rPr>
      </w:pPr>
      <w:r w:rsidRPr="00425CF6">
        <w:rPr>
          <w:b/>
          <w:spacing w:val="-2"/>
        </w:rPr>
        <w:t>Вісник</w:t>
      </w:r>
      <w:r w:rsidRPr="00425CF6">
        <w:rPr>
          <w:b/>
          <w:spacing w:val="-11"/>
        </w:rPr>
        <w:t xml:space="preserve"> </w:t>
      </w:r>
      <w:r w:rsidRPr="00425CF6">
        <w:rPr>
          <w:b/>
          <w:spacing w:val="-2"/>
        </w:rPr>
        <w:t>Прикарпатського</w:t>
      </w:r>
      <w:r w:rsidRPr="00425CF6">
        <w:rPr>
          <w:b/>
          <w:spacing w:val="-7"/>
        </w:rPr>
        <w:t xml:space="preserve"> </w:t>
      </w:r>
      <w:r w:rsidRPr="00425CF6">
        <w:rPr>
          <w:b/>
          <w:spacing w:val="-2"/>
        </w:rPr>
        <w:t>університету.</w:t>
      </w:r>
      <w:r w:rsidRPr="00425CF6">
        <w:rPr>
          <w:b/>
          <w:spacing w:val="-7"/>
        </w:rPr>
        <w:t xml:space="preserve"> </w:t>
      </w:r>
      <w:r w:rsidRPr="00425CF6">
        <w:rPr>
          <w:b/>
          <w:spacing w:val="-2"/>
        </w:rPr>
        <w:t>Серія:</w:t>
      </w:r>
      <w:r w:rsidRPr="00425CF6">
        <w:rPr>
          <w:b/>
          <w:spacing w:val="-7"/>
        </w:rPr>
        <w:t xml:space="preserve"> </w:t>
      </w:r>
      <w:r w:rsidRPr="00425CF6">
        <w:rPr>
          <w:b/>
          <w:spacing w:val="-2"/>
        </w:rPr>
        <w:t>Фізична</w:t>
      </w:r>
      <w:r w:rsidRPr="00425CF6">
        <w:rPr>
          <w:b/>
          <w:spacing w:val="-7"/>
        </w:rPr>
        <w:t xml:space="preserve"> </w:t>
      </w:r>
      <w:r w:rsidRPr="00425CF6">
        <w:rPr>
          <w:b/>
          <w:spacing w:val="-2"/>
        </w:rPr>
        <w:t>культура.</w:t>
      </w:r>
      <w:r w:rsidRPr="00425CF6">
        <w:rPr>
          <w:b/>
          <w:spacing w:val="-8"/>
        </w:rPr>
        <w:t xml:space="preserve"> </w:t>
      </w:r>
      <w:r w:rsidRPr="00425CF6">
        <w:rPr>
          <w:b/>
          <w:spacing w:val="-2"/>
        </w:rPr>
        <w:t>202</w:t>
      </w:r>
      <w:r>
        <w:rPr>
          <w:b/>
          <w:spacing w:val="-2"/>
        </w:rPr>
        <w:t>6</w:t>
      </w:r>
      <w:r w:rsidRPr="00425CF6">
        <w:rPr>
          <w:b/>
          <w:spacing w:val="-7"/>
        </w:rPr>
        <w:t xml:space="preserve"> </w:t>
      </w:r>
      <w:r w:rsidR="001D20B2">
        <w:rPr>
          <w:b/>
          <w:spacing w:val="-2"/>
        </w:rPr>
        <w:t>Травень</w:t>
      </w:r>
      <w:r w:rsidRPr="00425CF6">
        <w:rPr>
          <w:b/>
          <w:spacing w:val="-2"/>
        </w:rPr>
        <w:t xml:space="preserve"> </w:t>
      </w:r>
      <w:r w:rsidR="00D97092">
        <w:rPr>
          <w:b/>
          <w:spacing w:val="-2"/>
        </w:rPr>
        <w:t>05</w:t>
      </w:r>
      <w:r w:rsidRPr="00425CF6">
        <w:rPr>
          <w:b/>
          <w:spacing w:val="-2"/>
        </w:rPr>
        <w:t>;</w:t>
      </w:r>
      <w:r w:rsidRPr="00425CF6">
        <w:rPr>
          <w:b/>
          <w:spacing w:val="-6"/>
        </w:rPr>
        <w:t xml:space="preserve"> </w:t>
      </w:r>
      <w:r w:rsidRPr="00425CF6">
        <w:rPr>
          <w:b/>
          <w:spacing w:val="-2"/>
        </w:rPr>
        <w:t>4</w:t>
      </w:r>
      <w:r w:rsidR="00A432F3">
        <w:rPr>
          <w:b/>
          <w:spacing w:val="-2"/>
        </w:rPr>
        <w:t>6</w:t>
      </w:r>
      <w:r w:rsidRPr="00425CF6">
        <w:rPr>
          <w:b/>
          <w:spacing w:val="-2"/>
        </w:rPr>
        <w:t>:</w:t>
      </w:r>
      <w:r w:rsidRPr="00425CF6">
        <w:rPr>
          <w:b/>
          <w:spacing w:val="-7"/>
        </w:rPr>
        <w:t xml:space="preserve"> </w:t>
      </w:r>
      <w:r w:rsidR="00A47F46">
        <w:rPr>
          <w:b/>
          <w:spacing w:val="-2"/>
        </w:rPr>
        <w:t>101</w:t>
      </w:r>
      <w:r w:rsidRPr="00425CF6">
        <w:rPr>
          <w:b/>
          <w:spacing w:val="-2"/>
        </w:rPr>
        <w:t xml:space="preserve"> </w:t>
      </w:r>
      <w:r w:rsidRPr="00425CF6">
        <w:rPr>
          <w:b/>
          <w:spacing w:val="-5"/>
        </w:rPr>
        <w:t>с.</w:t>
      </w:r>
    </w:p>
    <w:p w:rsidR="002D495E" w:rsidRDefault="002D495E" w:rsidP="002D495E">
      <w:pPr>
        <w:pStyle w:val="af4"/>
        <w:shd w:val="clear" w:color="auto" w:fill="FFFFFF"/>
        <w:spacing w:beforeAutospacing="0" w:afterAutospacing="0"/>
        <w:ind w:firstLine="284"/>
        <w:jc w:val="both"/>
        <w:rPr>
          <w:sz w:val="14"/>
          <w:szCs w:val="21"/>
        </w:rPr>
      </w:pPr>
    </w:p>
    <w:p w:rsidR="002D495E" w:rsidRPr="002D495E" w:rsidRDefault="002D495E" w:rsidP="002D495E">
      <w:pPr>
        <w:pStyle w:val="af4"/>
        <w:shd w:val="clear" w:color="auto" w:fill="FFFFFF"/>
        <w:spacing w:beforeAutospacing="0" w:afterAutospacing="0"/>
        <w:ind w:firstLine="284"/>
        <w:jc w:val="both"/>
        <w:rPr>
          <w:sz w:val="14"/>
          <w:szCs w:val="21"/>
        </w:rPr>
      </w:pPr>
      <w:r w:rsidRPr="002D495E">
        <w:rPr>
          <w:sz w:val="14"/>
          <w:szCs w:val="21"/>
        </w:rPr>
        <w:t>У віснику висвітлюються результати наукових досліджень з актуальних проблем фізичного виховання школярів і студентів; біомеханіки рухової діяльності; спортивного тренування та змагальної діяльності; спортивної генетики; фізіології рухової діяльності; оздоровчо-спортивного туризму; історії фізичної культури; психології та педагогіки спорту й фізичної культури; здорового способу життя; адаптивної та корекційної фізичної культури; методології фізичної культури; менеджменту у фізичній культурі.</w:t>
      </w:r>
    </w:p>
    <w:p w:rsidR="006B25AB" w:rsidRPr="005457EE" w:rsidRDefault="002D495E" w:rsidP="002D495E">
      <w:pPr>
        <w:pStyle w:val="af4"/>
        <w:shd w:val="clear" w:color="auto" w:fill="FFFFFF"/>
        <w:spacing w:beforeAutospacing="0" w:afterAutospacing="0"/>
        <w:ind w:firstLine="284"/>
        <w:jc w:val="both"/>
        <w:rPr>
          <w:sz w:val="6"/>
          <w:lang w:val="ru-RU"/>
        </w:rPr>
      </w:pPr>
      <w:r w:rsidRPr="005457EE">
        <w:rPr>
          <w:sz w:val="14"/>
          <w:szCs w:val="21"/>
          <w:lang w:val="ru-RU"/>
        </w:rPr>
        <w:t>Вісник розрахований на науковців, викладачів, аспірантів, студентів, учителів фізичної культури і тренерів.</w:t>
      </w:r>
    </w:p>
    <w:p w:rsidR="006B25AB" w:rsidRPr="00425CF6" w:rsidRDefault="006B25AB" w:rsidP="006B25AB">
      <w:pPr>
        <w:pStyle w:val="a3"/>
        <w:spacing w:after="0"/>
        <w:rPr>
          <w:sz w:val="14"/>
        </w:rPr>
      </w:pPr>
    </w:p>
    <w:p w:rsidR="006B25AB" w:rsidRPr="00425CF6" w:rsidRDefault="006B25AB" w:rsidP="00D97092">
      <w:pPr>
        <w:spacing w:after="0" w:line="253" w:lineRule="exact"/>
        <w:jc w:val="both"/>
        <w:rPr>
          <w:b/>
          <w:lang w:val="en-GB"/>
        </w:rPr>
      </w:pPr>
      <w:r w:rsidRPr="00425CF6">
        <w:rPr>
          <w:b/>
          <w:lang w:val="en-GB"/>
        </w:rPr>
        <w:t>Newsletter</w:t>
      </w:r>
      <w:r w:rsidRPr="00425CF6">
        <w:rPr>
          <w:b/>
          <w:spacing w:val="-4"/>
          <w:lang w:val="en-GB"/>
        </w:rPr>
        <w:t xml:space="preserve"> </w:t>
      </w:r>
      <w:r w:rsidRPr="00425CF6">
        <w:rPr>
          <w:b/>
          <w:lang w:val="en-GB"/>
        </w:rPr>
        <w:t>of</w:t>
      </w:r>
      <w:r w:rsidRPr="00425CF6">
        <w:rPr>
          <w:b/>
          <w:spacing w:val="-3"/>
          <w:lang w:val="en-GB"/>
        </w:rPr>
        <w:t xml:space="preserve"> </w:t>
      </w:r>
      <w:r w:rsidRPr="00425CF6">
        <w:rPr>
          <w:b/>
          <w:lang w:val="en-GB"/>
        </w:rPr>
        <w:t>Precarpathian</w:t>
      </w:r>
      <w:r w:rsidRPr="00425CF6">
        <w:rPr>
          <w:b/>
          <w:spacing w:val="-3"/>
          <w:lang w:val="en-GB"/>
        </w:rPr>
        <w:t xml:space="preserve"> </w:t>
      </w:r>
      <w:r w:rsidRPr="00425CF6">
        <w:rPr>
          <w:b/>
          <w:lang w:val="en-GB"/>
        </w:rPr>
        <w:t>University.</w:t>
      </w:r>
      <w:r w:rsidRPr="00425CF6">
        <w:rPr>
          <w:b/>
          <w:spacing w:val="-6"/>
          <w:lang w:val="en-GB"/>
        </w:rPr>
        <w:t xml:space="preserve"> </w:t>
      </w:r>
      <w:r w:rsidRPr="00425CF6">
        <w:rPr>
          <w:b/>
          <w:lang w:val="en-GB"/>
        </w:rPr>
        <w:t>Physical</w:t>
      </w:r>
      <w:r w:rsidRPr="00425CF6">
        <w:rPr>
          <w:b/>
          <w:spacing w:val="-2"/>
          <w:lang w:val="en-GB"/>
        </w:rPr>
        <w:t xml:space="preserve"> </w:t>
      </w:r>
      <w:r w:rsidRPr="00425CF6">
        <w:rPr>
          <w:b/>
          <w:lang w:val="en-GB"/>
        </w:rPr>
        <w:t>Culture. 202</w:t>
      </w:r>
      <w:r w:rsidR="001D20B2">
        <w:rPr>
          <w:b/>
          <w:lang w:val="en-US"/>
        </w:rPr>
        <w:t>6</w:t>
      </w:r>
      <w:r w:rsidRPr="00425CF6">
        <w:rPr>
          <w:b/>
          <w:spacing w:val="-8"/>
          <w:lang w:val="en-GB"/>
        </w:rPr>
        <w:t xml:space="preserve"> </w:t>
      </w:r>
      <w:r w:rsidR="001D20B2">
        <w:rPr>
          <w:b/>
          <w:spacing w:val="-8"/>
          <w:lang w:val="en-GB"/>
        </w:rPr>
        <w:t>May</w:t>
      </w:r>
      <w:r w:rsidRPr="00425CF6">
        <w:rPr>
          <w:b/>
          <w:lang w:val="en-GB"/>
        </w:rPr>
        <w:t xml:space="preserve"> </w:t>
      </w:r>
      <w:r w:rsidR="00D97092">
        <w:rPr>
          <w:b/>
        </w:rPr>
        <w:t>05</w:t>
      </w:r>
      <w:r w:rsidRPr="00425CF6">
        <w:rPr>
          <w:b/>
          <w:lang w:val="en-GB"/>
        </w:rPr>
        <w:t>;</w:t>
      </w:r>
      <w:r w:rsidRPr="00425CF6">
        <w:rPr>
          <w:b/>
          <w:spacing w:val="-5"/>
          <w:lang w:val="en-GB"/>
        </w:rPr>
        <w:t xml:space="preserve"> </w:t>
      </w:r>
      <w:r w:rsidRPr="00425CF6">
        <w:rPr>
          <w:b/>
          <w:lang w:val="en-GB"/>
        </w:rPr>
        <w:t>4</w:t>
      </w:r>
      <w:r>
        <w:rPr>
          <w:b/>
        </w:rPr>
        <w:t>6</w:t>
      </w:r>
      <w:r w:rsidRPr="00425CF6">
        <w:rPr>
          <w:b/>
          <w:lang w:val="en-GB"/>
        </w:rPr>
        <w:t>:</w:t>
      </w:r>
      <w:r w:rsidRPr="00425CF6">
        <w:rPr>
          <w:b/>
          <w:spacing w:val="-2"/>
          <w:lang w:val="en-GB"/>
        </w:rPr>
        <w:t xml:space="preserve"> </w:t>
      </w:r>
      <w:r w:rsidR="00A47F46">
        <w:rPr>
          <w:b/>
        </w:rPr>
        <w:t>101</w:t>
      </w:r>
      <w:r w:rsidRPr="00425CF6">
        <w:rPr>
          <w:b/>
          <w:spacing w:val="-3"/>
          <w:lang w:val="en-GB"/>
        </w:rPr>
        <w:t xml:space="preserve"> </w:t>
      </w:r>
      <w:r w:rsidRPr="00425CF6">
        <w:rPr>
          <w:b/>
          <w:spacing w:val="-5"/>
          <w:lang w:val="en-GB"/>
        </w:rPr>
        <w:t>р.</w:t>
      </w:r>
    </w:p>
    <w:p w:rsidR="002D495E" w:rsidRDefault="002D495E" w:rsidP="002D495E">
      <w:pPr>
        <w:pStyle w:val="af4"/>
        <w:shd w:val="clear" w:color="auto" w:fill="FFFFFF"/>
        <w:spacing w:beforeAutospacing="0" w:afterAutospacing="0"/>
        <w:ind w:firstLine="284"/>
        <w:rPr>
          <w:sz w:val="14"/>
          <w:szCs w:val="21"/>
        </w:rPr>
      </w:pPr>
    </w:p>
    <w:p w:rsidR="002D495E" w:rsidRPr="006141A2" w:rsidRDefault="002D495E" w:rsidP="002D495E">
      <w:pPr>
        <w:pStyle w:val="af4"/>
        <w:shd w:val="clear" w:color="auto" w:fill="FFFFFF"/>
        <w:spacing w:beforeAutospacing="0" w:afterAutospacing="0"/>
        <w:ind w:firstLine="284"/>
        <w:rPr>
          <w:sz w:val="14"/>
          <w:szCs w:val="21"/>
        </w:rPr>
      </w:pPr>
      <w:r w:rsidRPr="006141A2">
        <w:rPr>
          <w:sz w:val="14"/>
          <w:szCs w:val="21"/>
        </w:rPr>
        <w:t>The journal publishes the results of scientific research in the following areas: current issues of physical education for schoolchildren and students; biomechanics of motor activity; sports training and competitive activity; sports genetics; physiology of motor activity; health and sports tourism; history of physical culture; psychology and pedagogy of sport and physical culture; healthy lifestyle; adaptive and corrective physical culture; methodology of physical culture; management in physical culture and sports.</w:t>
      </w:r>
    </w:p>
    <w:p w:rsidR="006B25AB" w:rsidRPr="00425CF6" w:rsidRDefault="002D495E" w:rsidP="002D495E">
      <w:pPr>
        <w:pStyle w:val="a3"/>
        <w:spacing w:after="0"/>
        <w:ind w:firstLine="284"/>
        <w:jc w:val="both"/>
        <w:rPr>
          <w:sz w:val="14"/>
        </w:rPr>
      </w:pPr>
      <w:r w:rsidRPr="006141A2">
        <w:rPr>
          <w:sz w:val="14"/>
          <w:szCs w:val="21"/>
        </w:rPr>
        <w:t>The </w:t>
      </w:r>
      <w:r>
        <w:rPr>
          <w:rStyle w:val="af2"/>
          <w:rFonts w:eastAsiaTheme="majorEastAsia"/>
          <w:sz w:val="14"/>
          <w:szCs w:val="21"/>
          <w:lang w:val="en-US"/>
        </w:rPr>
        <w:t>Newsleter</w:t>
      </w:r>
      <w:r w:rsidRPr="006141A2">
        <w:rPr>
          <w:sz w:val="14"/>
          <w:szCs w:val="21"/>
        </w:rPr>
        <w:t> is intended for researchers, university lecturers, PhD students, students, physical education teachers, and coaches</w:t>
      </w:r>
    </w:p>
    <w:p w:rsidR="002D495E" w:rsidRDefault="002D495E" w:rsidP="00810A97">
      <w:pPr>
        <w:jc w:val="right"/>
        <w:rPr>
          <w:sz w:val="18"/>
          <w:lang w:val="en-US"/>
        </w:rPr>
      </w:pPr>
    </w:p>
    <w:p w:rsidR="002D495E" w:rsidRDefault="002D495E" w:rsidP="00810A97">
      <w:pPr>
        <w:jc w:val="right"/>
        <w:rPr>
          <w:sz w:val="18"/>
          <w:lang w:val="en-US"/>
        </w:rPr>
      </w:pPr>
    </w:p>
    <w:p w:rsidR="00810A97" w:rsidRDefault="006B25AB" w:rsidP="00810A97">
      <w:pPr>
        <w:jc w:val="right"/>
        <w:rPr>
          <w:spacing w:val="-4"/>
          <w:sz w:val="18"/>
        </w:rPr>
      </w:pPr>
      <w:r w:rsidRPr="00425CF6">
        <w:rPr>
          <w:sz w:val="18"/>
        </w:rPr>
        <w:t>Карпатський</w:t>
      </w:r>
      <w:r w:rsidR="00A432F3" w:rsidRPr="00A432F3">
        <w:rPr>
          <w:sz w:val="18"/>
        </w:rPr>
        <w:t xml:space="preserve"> </w:t>
      </w:r>
      <w:r w:rsidR="00A432F3" w:rsidRPr="00425CF6">
        <w:rPr>
          <w:sz w:val="18"/>
        </w:rPr>
        <w:t>національний</w:t>
      </w:r>
      <w:r w:rsidR="00A432F3" w:rsidRPr="00425CF6">
        <w:rPr>
          <w:spacing w:val="-2"/>
          <w:sz w:val="18"/>
        </w:rPr>
        <w:t xml:space="preserve"> </w:t>
      </w:r>
      <w:r w:rsidR="00A432F3" w:rsidRPr="00425CF6">
        <w:rPr>
          <w:sz w:val="18"/>
        </w:rPr>
        <w:t>університет</w:t>
      </w:r>
      <w:r w:rsidR="00A432F3" w:rsidRPr="00425CF6">
        <w:rPr>
          <w:spacing w:val="-4"/>
          <w:sz w:val="18"/>
        </w:rPr>
        <w:t xml:space="preserve"> </w:t>
      </w:r>
      <w:r w:rsidR="00A432F3" w:rsidRPr="00425CF6">
        <w:rPr>
          <w:sz w:val="18"/>
        </w:rPr>
        <w:t>імені</w:t>
      </w:r>
      <w:r w:rsidR="00A432F3" w:rsidRPr="00425CF6">
        <w:rPr>
          <w:spacing w:val="-4"/>
          <w:sz w:val="18"/>
        </w:rPr>
        <w:t xml:space="preserve"> </w:t>
      </w:r>
      <w:r w:rsidR="00A432F3" w:rsidRPr="00425CF6">
        <w:rPr>
          <w:sz w:val="18"/>
        </w:rPr>
        <w:t>Василя</w:t>
      </w:r>
      <w:r w:rsidR="00A432F3" w:rsidRPr="00425CF6">
        <w:rPr>
          <w:spacing w:val="-3"/>
          <w:sz w:val="18"/>
        </w:rPr>
        <w:t xml:space="preserve"> </w:t>
      </w:r>
      <w:r w:rsidR="00A432F3" w:rsidRPr="00425CF6">
        <w:rPr>
          <w:sz w:val="18"/>
        </w:rPr>
        <w:t>Стефаника,</w:t>
      </w:r>
      <w:r w:rsidR="00A432F3" w:rsidRPr="00425CF6">
        <w:rPr>
          <w:spacing w:val="-3"/>
          <w:sz w:val="18"/>
        </w:rPr>
        <w:t xml:space="preserve"> </w:t>
      </w:r>
      <w:r w:rsidR="00A432F3" w:rsidRPr="00425CF6">
        <w:rPr>
          <w:spacing w:val="-4"/>
          <w:sz w:val="18"/>
        </w:rPr>
        <w:t>202</w:t>
      </w:r>
      <w:r w:rsidR="00A432F3">
        <w:rPr>
          <w:spacing w:val="-4"/>
          <w:sz w:val="18"/>
        </w:rPr>
        <w:t>6</w:t>
      </w:r>
      <w:r w:rsidR="00810A97">
        <w:rPr>
          <w:spacing w:val="-4"/>
          <w:sz w:val="1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394"/>
      </w:tblGrid>
      <w:tr w:rsidR="00810A97" w:rsidRPr="00810A97" w:rsidTr="00C07F42">
        <w:tc>
          <w:tcPr>
            <w:tcW w:w="4786" w:type="dxa"/>
          </w:tcPr>
          <w:p w:rsidR="00810A97" w:rsidRPr="00810A97" w:rsidRDefault="00810A97" w:rsidP="00810A97">
            <w:pPr>
              <w:spacing w:after="0" w:line="240" w:lineRule="auto"/>
              <w:ind w:firstLine="284"/>
              <w:jc w:val="both"/>
              <w:rPr>
                <w:b/>
                <w:bCs/>
                <w:sz w:val="20"/>
                <w:szCs w:val="20"/>
                <w:lang w:bidi="en-US"/>
              </w:rPr>
            </w:pPr>
            <w:r w:rsidRPr="00810A97">
              <w:rPr>
                <w:b/>
                <w:bCs/>
                <w:sz w:val="20"/>
                <w:szCs w:val="20"/>
                <w:lang w:bidi="en-US"/>
              </w:rPr>
              <w:lastRenderedPageBreak/>
              <w:t>УДК 355.233:796.012.1:005.21</w:t>
            </w:r>
          </w:p>
          <w:p w:rsidR="00810A97" w:rsidRPr="00810A97" w:rsidRDefault="00810A97" w:rsidP="00810A97">
            <w:pPr>
              <w:spacing w:after="0" w:line="240" w:lineRule="auto"/>
              <w:ind w:firstLine="284"/>
              <w:jc w:val="both"/>
              <w:rPr>
                <w:b/>
                <w:sz w:val="20"/>
                <w:szCs w:val="20"/>
                <w:lang w:bidi="en-US"/>
              </w:rPr>
            </w:pPr>
            <w:r w:rsidRPr="00810A97">
              <w:rPr>
                <w:b/>
                <w:sz w:val="20"/>
                <w:szCs w:val="20"/>
                <w:lang w:bidi="en-US"/>
              </w:rPr>
              <w:t xml:space="preserve">doi: </w:t>
            </w:r>
            <w:r w:rsidRPr="00810A97">
              <w:rPr>
                <w:rFonts w:eastAsia="SimSun"/>
                <w:b/>
                <w:kern w:val="1"/>
                <w:sz w:val="20"/>
                <w:szCs w:val="20"/>
                <w:lang w:eastAsia="zh-CN" w:bidi="hi-IN"/>
              </w:rPr>
              <w:t>10.15330/fcult.46.3-11</w:t>
            </w:r>
          </w:p>
        </w:tc>
        <w:tc>
          <w:tcPr>
            <w:tcW w:w="4394" w:type="dxa"/>
          </w:tcPr>
          <w:p w:rsidR="00810A97" w:rsidRPr="00810A97" w:rsidRDefault="00810A97" w:rsidP="00810A97">
            <w:pPr>
              <w:spacing w:after="0" w:line="240" w:lineRule="auto"/>
              <w:ind w:firstLine="567"/>
              <w:contextualSpacing/>
              <w:jc w:val="right"/>
              <w:rPr>
                <w:b/>
                <w:bCs/>
                <w:i/>
                <w:iCs/>
                <w:sz w:val="24"/>
                <w:szCs w:val="24"/>
                <w:lang w:bidi="en-US"/>
              </w:rPr>
            </w:pPr>
            <w:r w:rsidRPr="00810A97">
              <w:rPr>
                <w:b/>
                <w:i/>
                <w:sz w:val="20"/>
                <w:szCs w:val="20"/>
                <w:lang w:bidi="en-US"/>
              </w:rPr>
              <w:t xml:space="preserve"> </w:t>
            </w:r>
            <w:r w:rsidRPr="00810A97">
              <w:rPr>
                <w:b/>
                <w:bCs/>
                <w:i/>
                <w:iCs/>
                <w:sz w:val="24"/>
                <w:szCs w:val="24"/>
                <w:lang w:bidi="en-US"/>
              </w:rPr>
              <w:t>Олександр Петрачков</w:t>
            </w:r>
          </w:p>
          <w:p w:rsidR="00810A97" w:rsidRPr="00810A97" w:rsidRDefault="00810A97" w:rsidP="00810A97">
            <w:pPr>
              <w:spacing w:after="0" w:line="360" w:lineRule="auto"/>
              <w:ind w:firstLine="284"/>
              <w:jc w:val="both"/>
              <w:rPr>
                <w:b/>
                <w:sz w:val="20"/>
                <w:szCs w:val="20"/>
                <w:lang w:bidi="en-US"/>
              </w:rPr>
            </w:pPr>
          </w:p>
        </w:tc>
      </w:tr>
    </w:tbl>
    <w:p w:rsidR="00810A97" w:rsidRPr="00810A97" w:rsidRDefault="00810A97" w:rsidP="00810A97">
      <w:pPr>
        <w:spacing w:after="0" w:line="240" w:lineRule="auto"/>
        <w:jc w:val="center"/>
        <w:rPr>
          <w:b/>
          <w:sz w:val="24"/>
          <w:szCs w:val="24"/>
          <w:lang w:bidi="en-US"/>
        </w:rPr>
      </w:pPr>
    </w:p>
    <w:p w:rsidR="00810A97" w:rsidRPr="00810A97" w:rsidRDefault="00810A97" w:rsidP="00810A97">
      <w:pPr>
        <w:spacing w:after="0" w:line="240" w:lineRule="auto"/>
        <w:jc w:val="center"/>
        <w:rPr>
          <w:b/>
          <w:bCs/>
          <w:sz w:val="24"/>
          <w:szCs w:val="24"/>
          <w:lang w:bidi="en-US"/>
        </w:rPr>
      </w:pPr>
      <w:r w:rsidRPr="00810A97">
        <w:rPr>
          <w:b/>
          <w:sz w:val="24"/>
          <w:szCs w:val="24"/>
          <w:lang w:bidi="en-US"/>
        </w:rPr>
        <w:t xml:space="preserve">СТРУКТУРА ТА ЗМІСТ МОДЕЛІ </w:t>
      </w:r>
      <w:r w:rsidRPr="00810A97">
        <w:rPr>
          <w:b/>
          <w:color w:val="000000"/>
          <w:sz w:val="24"/>
          <w:szCs w:val="24"/>
          <w:lang w:bidi="en-US"/>
        </w:rPr>
        <w:t>ФІЗИЧНОЇ ПІДГОТОВКИ ОФІЦЕРІВ ОПЕРАТИВНОГО РІВНЯ ЗБРОЙНИХ СИЛ УКРАЇНИ</w:t>
      </w:r>
    </w:p>
    <w:p w:rsidR="00810A97" w:rsidRPr="00810A97" w:rsidRDefault="00810A97" w:rsidP="00810A97">
      <w:pPr>
        <w:spacing w:after="0" w:line="240" w:lineRule="auto"/>
        <w:ind w:firstLine="567"/>
        <w:contextualSpacing/>
        <w:jc w:val="both"/>
        <w:rPr>
          <w:sz w:val="24"/>
          <w:szCs w:val="24"/>
          <w:lang w:bidi="en-US"/>
        </w:rPr>
      </w:pPr>
    </w:p>
    <w:p w:rsidR="00810A97" w:rsidRPr="00810A97" w:rsidRDefault="00FE760B" w:rsidP="00810A97">
      <w:pPr>
        <w:spacing w:after="0" w:line="240" w:lineRule="auto"/>
        <w:ind w:firstLine="709"/>
        <w:jc w:val="both"/>
        <w:rPr>
          <w:rFonts w:eastAsia="Calibri"/>
          <w:bCs/>
          <w:sz w:val="20"/>
          <w:szCs w:val="20"/>
          <w:lang w:bidi="en-US"/>
        </w:rPr>
      </w:pPr>
      <w:r w:rsidRPr="00FE760B">
        <w:rPr>
          <w:b/>
          <w:bCs/>
          <w:sz w:val="20"/>
          <w:szCs w:val="20"/>
          <w:lang w:eastAsia="uk-UA"/>
        </w:rPr>
        <w:t xml:space="preserve">Анотація. </w:t>
      </w:r>
      <w:r w:rsidR="00810A97" w:rsidRPr="00810A97">
        <w:rPr>
          <w:b/>
          <w:sz w:val="20"/>
          <w:szCs w:val="20"/>
          <w:lang w:bidi="en-US"/>
        </w:rPr>
        <w:t>Мета</w:t>
      </w:r>
      <w:r w:rsidR="00810A97" w:rsidRPr="00810A97">
        <w:rPr>
          <w:sz w:val="20"/>
          <w:szCs w:val="20"/>
          <w:lang w:bidi="en-US"/>
        </w:rPr>
        <w:t xml:space="preserve"> – теоретично обґрунтувати структуру та зміст моделі фізичної підготовки офіцерів оперативного рівня, спрямованої на вдосконалення професійно важливих фізичних і когнітивних якостей та підвищення ефективності виконання службово-бойових завдань. </w:t>
      </w:r>
      <w:r w:rsidR="00810A97" w:rsidRPr="00810A97">
        <w:rPr>
          <w:rFonts w:eastAsia="Calibri"/>
          <w:b/>
          <w:bCs/>
          <w:sz w:val="20"/>
          <w:szCs w:val="20"/>
          <w:lang w:bidi="en-US"/>
        </w:rPr>
        <w:t>Методи дослідження.</w:t>
      </w:r>
      <w:r w:rsidR="00810A97" w:rsidRPr="00810A97">
        <w:rPr>
          <w:sz w:val="20"/>
          <w:szCs w:val="20"/>
          <w:lang w:bidi="en-US"/>
        </w:rPr>
        <w:t xml:space="preserve"> Теоретичні методи містили аналіз, синтез, узагальнення та систематизацію наукових джерел з проблеми фізичної підготовки військовослужбовців. У межах дослідження за принципами біомедичної етики та згоди учасників було обстежено групу офіцерів оперативного рівня (n = 201, середній вік 36,4 року). </w:t>
      </w:r>
      <w:r w:rsidR="00810A97" w:rsidRPr="00810A97">
        <w:rPr>
          <w:b/>
          <w:sz w:val="20"/>
          <w:szCs w:val="20"/>
          <w:lang w:eastAsia="uk-UA"/>
        </w:rPr>
        <w:t>Результати дослідження</w:t>
      </w:r>
      <w:r w:rsidR="00810A97" w:rsidRPr="00810A97">
        <w:rPr>
          <w:sz w:val="20"/>
          <w:szCs w:val="20"/>
          <w:lang w:eastAsia="uk-UA"/>
        </w:rPr>
        <w:t xml:space="preserve"> показали, </w:t>
      </w:r>
      <w:r w:rsidR="00810A97" w:rsidRPr="00810A97">
        <w:rPr>
          <w:sz w:val="20"/>
          <w:szCs w:val="20"/>
          <w:lang w:bidi="en-US"/>
        </w:rPr>
        <w:t xml:space="preserve">що модель фізичної підготовки офіцерів оперативного рівня ґрунтується на комплексному поєднанні розвитку фізичних, функціональних і когнітивних якостей, формування яких забезпечується системою спеціально підібраних фізичних вправ із застосуванням різних методів, форм і принципів тренування з урахуванням індивідуальних особливостей військовослужбовців і специфіки службово-бойової діяльності. </w:t>
      </w:r>
      <w:r w:rsidR="00810A97" w:rsidRPr="00810A97">
        <w:rPr>
          <w:rFonts w:eastAsia="Calibri"/>
          <w:b/>
          <w:bCs/>
          <w:sz w:val="20"/>
          <w:szCs w:val="20"/>
          <w:lang w:bidi="en-US"/>
        </w:rPr>
        <w:t>Висновок.</w:t>
      </w:r>
      <w:r w:rsidR="00810A97" w:rsidRPr="00810A97">
        <w:rPr>
          <w:sz w:val="20"/>
          <w:szCs w:val="20"/>
          <w:lang w:bidi="en-US"/>
        </w:rPr>
        <w:t xml:space="preserve"> Розроблена модель характеризується практичною значущістю, оскільки забезпечує підвищення результативності та безпечності підготовки й може бути використана як методологічна основа для подальших досліджень і модернізації програм фізичної підготовки у системі військової освіти.</w:t>
      </w:r>
    </w:p>
    <w:p w:rsidR="00810A97" w:rsidRPr="00810A97" w:rsidRDefault="00810A97" w:rsidP="00810A97">
      <w:pPr>
        <w:spacing w:after="0" w:line="240" w:lineRule="auto"/>
        <w:ind w:firstLine="709"/>
        <w:jc w:val="both"/>
        <w:rPr>
          <w:sz w:val="20"/>
          <w:szCs w:val="20"/>
          <w:lang w:bidi="en-US"/>
        </w:rPr>
      </w:pPr>
      <w:r w:rsidRPr="00810A97">
        <w:rPr>
          <w:rFonts w:eastAsia="Calibri"/>
          <w:b/>
          <w:bCs/>
          <w:sz w:val="20"/>
          <w:szCs w:val="20"/>
          <w:lang w:bidi="en-US"/>
        </w:rPr>
        <w:t>Ключові слова:</w:t>
      </w:r>
      <w:r w:rsidRPr="00810A97">
        <w:rPr>
          <w:sz w:val="20"/>
          <w:szCs w:val="20"/>
          <w:lang w:bidi="en-US"/>
        </w:rPr>
        <w:t xml:space="preserve"> військовослужбовці, змістові компоненти, модель занять, модель фізичної підготовки офіцерів оперативного рівня, навантаження</w:t>
      </w:r>
    </w:p>
    <w:p w:rsidR="00810A97" w:rsidRPr="00810A97" w:rsidRDefault="00810A97" w:rsidP="00810A97">
      <w:pPr>
        <w:spacing w:after="0" w:line="240" w:lineRule="auto"/>
        <w:ind w:firstLine="709"/>
        <w:jc w:val="both"/>
        <w:rPr>
          <w:sz w:val="20"/>
          <w:szCs w:val="20"/>
          <w:lang w:bidi="en-US"/>
        </w:rPr>
      </w:pPr>
    </w:p>
    <w:p w:rsidR="00810A97" w:rsidRPr="00810A97" w:rsidRDefault="00810A97" w:rsidP="00810A97">
      <w:pPr>
        <w:spacing w:after="0" w:line="240" w:lineRule="auto"/>
        <w:ind w:firstLine="709"/>
        <w:jc w:val="both"/>
        <w:rPr>
          <w:sz w:val="20"/>
          <w:szCs w:val="20"/>
          <w:lang w:val="en-GB" w:bidi="en-US"/>
        </w:rPr>
      </w:pPr>
      <w:r w:rsidRPr="00810A97">
        <w:rPr>
          <w:b/>
          <w:sz w:val="20"/>
          <w:szCs w:val="20"/>
          <w:lang w:val="en-US" w:bidi="en-US"/>
        </w:rPr>
        <w:t>Summary</w:t>
      </w:r>
      <w:r w:rsidRPr="00810A97">
        <w:rPr>
          <w:sz w:val="20"/>
          <w:szCs w:val="20"/>
          <w:lang w:val="en-US" w:bidi="en-US"/>
        </w:rPr>
        <w:t>.</w:t>
      </w:r>
      <w:r w:rsidRPr="00810A97">
        <w:rPr>
          <w:sz w:val="20"/>
          <w:szCs w:val="20"/>
          <w:lang w:bidi="en-US"/>
        </w:rPr>
        <w:t xml:space="preserve"> </w:t>
      </w:r>
      <w:r w:rsidRPr="00810A97">
        <w:rPr>
          <w:sz w:val="20"/>
          <w:szCs w:val="20"/>
          <w:lang w:val="en-GB" w:bidi="en-US"/>
        </w:rPr>
        <w:t xml:space="preserve">Modern transformations of the military environment, technological progress, the changing nature of combat operations, and the increasing requirements for mobility and professional competence of operational-level officers necessitate improvements to the physical training system. The article presents the structure and content of a new model of physical training for operational-level officers of the Armed Forces of Ukraine, which reflects the main principles, components, approaches, and methods used in organizing and implementing the physical training system for officers. The proposed model defines the general strategy and direction for organizing the physical training process aimed at ensuring physical and combat readiness, as well as the professional development necessary for the effective performance of official duties within the structures of the defence forces. </w:t>
      </w:r>
      <w:r w:rsidRPr="00810A97">
        <w:rPr>
          <w:b/>
          <w:sz w:val="20"/>
          <w:szCs w:val="20"/>
          <w:lang w:val="en-GB" w:bidi="en-US"/>
        </w:rPr>
        <w:t>The purpose of the study</w:t>
      </w:r>
      <w:r w:rsidRPr="00810A97">
        <w:rPr>
          <w:sz w:val="20"/>
          <w:szCs w:val="20"/>
          <w:lang w:val="en-GB" w:bidi="en-US"/>
        </w:rPr>
        <w:t xml:space="preserve"> is to theoretically substantiate the structure and content of the model of physical training of operational-level officers aimed at improving professionally important physical and cognitive qualities and increasing the effectiveness of performing service and combat tasks.</w:t>
      </w:r>
      <w:r w:rsidRPr="00810A97">
        <w:rPr>
          <w:b/>
          <w:sz w:val="20"/>
          <w:szCs w:val="20"/>
          <w:lang w:val="en-GB" w:bidi="en-US"/>
        </w:rPr>
        <w:t xml:space="preserve"> Research methods. </w:t>
      </w:r>
      <w:r w:rsidRPr="00810A97">
        <w:rPr>
          <w:sz w:val="20"/>
          <w:szCs w:val="20"/>
          <w:lang w:val="en-GB" w:bidi="en-US"/>
        </w:rPr>
        <w:t xml:space="preserve">Theoretical methods included analysis, synthesis, generalization, and systematization of scientific sources on the problem of physical training of military personnel. Within the study, an operational-level officers group (n = 201, average age 36.4 years) was examined in accordance with the principles of biomedical ethics and with participants’ consent. </w:t>
      </w:r>
      <w:r w:rsidRPr="00810A97">
        <w:rPr>
          <w:b/>
          <w:sz w:val="20"/>
          <w:szCs w:val="20"/>
          <w:lang w:val="en-GB" w:bidi="en-US"/>
        </w:rPr>
        <w:t xml:space="preserve">The results of the study </w:t>
      </w:r>
      <w:r w:rsidRPr="00810A97">
        <w:rPr>
          <w:sz w:val="20"/>
          <w:szCs w:val="20"/>
          <w:lang w:val="en-GB" w:bidi="en-US"/>
        </w:rPr>
        <w:t>showed that the developed physical training model of operational-level officers is based on a complex combination of the development of physical, functional and cognitive qualities, the formation of which is ensured by a system of specially selected physical exercises using various methods, forms and principles of training taking into account the individual characteristics of military personnel and the specifics of service and combat activities. It was established that the implementation of the model contributes to the increase in the functional capabilities of the body’s leading systems, the development of professionally important physical and cognitive qualities, stress resistance, and adaptive potential of officers, which leads to an improvement in the effectiveness of performing official functions and optimization of the processes of physiological and psychophysiological adaptation.</w:t>
      </w:r>
      <w:r w:rsidRPr="00810A97">
        <w:rPr>
          <w:b/>
          <w:sz w:val="20"/>
          <w:szCs w:val="20"/>
          <w:lang w:val="en-GB" w:bidi="en-US"/>
        </w:rPr>
        <w:t xml:space="preserve"> Conclusion. </w:t>
      </w:r>
      <w:r w:rsidRPr="00810A97">
        <w:rPr>
          <w:sz w:val="20"/>
          <w:szCs w:val="20"/>
          <w:lang w:val="en-GB" w:bidi="en-US"/>
        </w:rPr>
        <w:t>The proposed model is characterized by practical significance, as it enhances the effectiveness and safety of training and can serve as a methodological basis for further research and the modernization of physical training programs in the military education system.</w:t>
      </w:r>
    </w:p>
    <w:p w:rsidR="00810A97" w:rsidRPr="00810A97" w:rsidRDefault="00810A97" w:rsidP="00810A97">
      <w:pPr>
        <w:spacing w:after="0" w:line="240" w:lineRule="auto"/>
        <w:ind w:firstLine="709"/>
        <w:jc w:val="both"/>
        <w:rPr>
          <w:sz w:val="20"/>
          <w:szCs w:val="20"/>
          <w:lang w:bidi="en-US"/>
        </w:rPr>
      </w:pPr>
      <w:r w:rsidRPr="00810A97">
        <w:rPr>
          <w:b/>
          <w:sz w:val="20"/>
          <w:szCs w:val="20"/>
          <w:lang w:val="en-GB" w:bidi="en-US"/>
        </w:rPr>
        <w:t>Keywords:</w:t>
      </w:r>
      <w:r w:rsidRPr="00810A97">
        <w:rPr>
          <w:sz w:val="20"/>
          <w:szCs w:val="20"/>
          <w:lang w:val="en-GB" w:bidi="en-US"/>
        </w:rPr>
        <w:t xml:space="preserve"> military personnel, content components, training model, model of physical training of operational-level officers, physical loads</w:t>
      </w:r>
    </w:p>
    <w:p w:rsidR="00810A97" w:rsidRPr="00810A97" w:rsidRDefault="00810A97" w:rsidP="00810A97">
      <w:pPr>
        <w:spacing w:after="0" w:line="240" w:lineRule="auto"/>
        <w:ind w:firstLine="709"/>
        <w:jc w:val="both"/>
        <w:rPr>
          <w:sz w:val="24"/>
          <w:szCs w:val="24"/>
          <w:lang w:bidi="en-US"/>
        </w:rPr>
      </w:pPr>
    </w:p>
    <w:p w:rsidR="002D495E" w:rsidRDefault="002D495E" w:rsidP="00810A97">
      <w:pPr>
        <w:framePr w:w="9346" w:h="683" w:hRule="exact" w:wrap="auto" w:vAnchor="page" w:hAnchor="page" w:x="1696" w:y="14582"/>
        <w:spacing w:after="0" w:line="360" w:lineRule="auto"/>
        <w:ind w:left="33" w:right="-1" w:firstLine="284"/>
        <w:jc w:val="both"/>
        <w:rPr>
          <w:sz w:val="20"/>
          <w:szCs w:val="20"/>
          <w:lang w:val="en-US" w:bidi="en-US"/>
        </w:rPr>
      </w:pPr>
    </w:p>
    <w:p w:rsidR="00810A97" w:rsidRPr="00810A97" w:rsidRDefault="00810A97" w:rsidP="00810A97">
      <w:pPr>
        <w:framePr w:w="9346" w:h="683" w:hRule="exact" w:wrap="auto" w:vAnchor="page" w:hAnchor="page" w:x="1696" w:y="14582"/>
        <w:spacing w:after="0" w:line="360" w:lineRule="auto"/>
        <w:ind w:left="33" w:right="-1" w:firstLine="284"/>
        <w:jc w:val="both"/>
        <w:rPr>
          <w:sz w:val="20"/>
          <w:szCs w:val="20"/>
          <w:lang w:bidi="en-US"/>
        </w:rPr>
      </w:pPr>
      <w:r w:rsidRPr="00810A97">
        <w:rPr>
          <w:sz w:val="20"/>
          <w:szCs w:val="20"/>
          <w:lang w:bidi="en-US"/>
        </w:rPr>
        <w:t xml:space="preserve">© </w:t>
      </w:r>
      <w:r w:rsidRPr="00810A97">
        <w:rPr>
          <w:bCs/>
          <w:iCs/>
          <w:sz w:val="20"/>
          <w:szCs w:val="20"/>
          <w:lang w:bidi="en-US"/>
        </w:rPr>
        <w:t>Петрачков</w:t>
      </w:r>
      <w:r w:rsidRPr="00810A97">
        <w:rPr>
          <w:sz w:val="20"/>
          <w:szCs w:val="20"/>
          <w:lang w:eastAsia="uk-UA" w:bidi="en-US"/>
        </w:rPr>
        <w:t xml:space="preserve"> О.,</w:t>
      </w:r>
      <w:r w:rsidRPr="00810A97">
        <w:rPr>
          <w:spacing w:val="1"/>
          <w:sz w:val="20"/>
          <w:szCs w:val="20"/>
          <w:lang w:bidi="en-US"/>
        </w:rPr>
        <w:t xml:space="preserve"> 2026</w:t>
      </w:r>
      <w:r w:rsidRPr="00810A97">
        <w:rPr>
          <w:spacing w:val="1"/>
          <w:sz w:val="20"/>
          <w:szCs w:val="20"/>
          <w:lang w:bidi="en-US"/>
        </w:rPr>
        <w:tab/>
      </w:r>
      <w:r w:rsidRPr="00810A97">
        <w:rPr>
          <w:spacing w:val="1"/>
          <w:sz w:val="20"/>
          <w:szCs w:val="20"/>
          <w:lang w:bidi="en-US"/>
        </w:rPr>
        <w:tab/>
      </w:r>
      <w:r w:rsidRPr="00810A97">
        <w:rPr>
          <w:spacing w:val="1"/>
          <w:sz w:val="20"/>
          <w:szCs w:val="20"/>
          <w:lang w:bidi="en-US"/>
        </w:rPr>
        <w:tab/>
      </w:r>
      <w:r w:rsidRPr="00810A97">
        <w:rPr>
          <w:spacing w:val="1"/>
          <w:sz w:val="20"/>
          <w:szCs w:val="20"/>
          <w:lang w:bidi="en-US"/>
        </w:rPr>
        <w:tab/>
        <w:t>Увесь контент ліцензовано за умовами СС BY 4.0</w:t>
      </w:r>
    </w:p>
    <w:p w:rsidR="002D495E" w:rsidRDefault="00810A97" w:rsidP="00810A97">
      <w:pPr>
        <w:spacing w:after="0" w:line="240" w:lineRule="auto"/>
        <w:ind w:firstLine="709"/>
        <w:jc w:val="both"/>
        <w:rPr>
          <w:sz w:val="24"/>
          <w:szCs w:val="24"/>
          <w:lang w:bidi="en-US"/>
        </w:rPr>
      </w:pPr>
      <w:r w:rsidRPr="00810A97">
        <w:rPr>
          <w:b/>
          <w:sz w:val="24"/>
          <w:szCs w:val="24"/>
          <w:lang w:bidi="en-US"/>
        </w:rPr>
        <w:t xml:space="preserve">Постановка проблеми й аналіз результатів останніх досліджень. </w:t>
      </w:r>
      <w:r w:rsidRPr="00810A97">
        <w:rPr>
          <w:sz w:val="24"/>
          <w:szCs w:val="24"/>
          <w:lang w:bidi="en-US"/>
        </w:rPr>
        <w:t xml:space="preserve">Сучасний етап розвитку Збройних Сил України (далі – ЗСУ) характеризується трансформаціями, зумовленими зміною характеру бойових дій, впровадженням новітніх технологій і підвищенням вимог до військовослужбовців. </w:t>
      </w:r>
    </w:p>
    <w:p w:rsidR="002D495E" w:rsidRDefault="002D495E">
      <w:pPr>
        <w:spacing w:after="160" w:line="259" w:lineRule="auto"/>
        <w:rPr>
          <w:sz w:val="24"/>
          <w:szCs w:val="24"/>
          <w:lang w:bidi="en-US"/>
        </w:rPr>
      </w:pPr>
      <w:r>
        <w:rPr>
          <w:sz w:val="24"/>
          <w:szCs w:val="24"/>
          <w:lang w:bidi="en-US"/>
        </w:rPr>
        <w:br w:type="page"/>
      </w:r>
    </w:p>
    <w:p w:rsidR="00810A97" w:rsidRPr="00810A97" w:rsidRDefault="00810A97" w:rsidP="00810A97">
      <w:pPr>
        <w:spacing w:after="0" w:line="240" w:lineRule="auto"/>
        <w:ind w:firstLine="709"/>
        <w:jc w:val="both"/>
        <w:rPr>
          <w:sz w:val="24"/>
          <w:szCs w:val="24"/>
          <w:lang w:bidi="en-US"/>
        </w:rPr>
      </w:pPr>
      <w:r w:rsidRPr="00810A97">
        <w:rPr>
          <w:sz w:val="24"/>
          <w:szCs w:val="24"/>
          <w:lang w:bidi="en-US"/>
        </w:rPr>
        <w:lastRenderedPageBreak/>
        <w:t>Особливої актуальності набуває підготовка офіцерів оперативного рівня, діяльність яких пов’язана з прийняттям рішень в умовах невизначеності, динамічної обстановки та значного психофізичного навантаження [1]. За цих умов ефективність їх діяльності визначається не лише професійними знаннями, а й рівнем розвитку фізичних, функціональних і когнітивних якостей, що зумовлює необхідність удосконалення підходів до фізичної підготовки (далі – ФП) на засадах комплексності та інтеграції [2].</w:t>
      </w:r>
    </w:p>
    <w:p w:rsidR="00810A97" w:rsidRPr="00810A97" w:rsidRDefault="00810A97" w:rsidP="00810A97">
      <w:pPr>
        <w:spacing w:after="0" w:line="240" w:lineRule="auto"/>
        <w:ind w:firstLine="709"/>
        <w:jc w:val="both"/>
        <w:rPr>
          <w:sz w:val="24"/>
          <w:szCs w:val="24"/>
          <w:lang w:bidi="en-US"/>
        </w:rPr>
      </w:pPr>
      <w:r w:rsidRPr="00810A97">
        <w:rPr>
          <w:sz w:val="24"/>
          <w:szCs w:val="24"/>
          <w:lang w:bidi="en-US"/>
        </w:rPr>
        <w:t>Аналіз наукових досліджень свідчить, що існуючі системи ФП військовослужбовців переважно орієнтовані на розвиток окремих фізичних якостей без достатнього врахування специфіки професійної діяльності офіцерів оперативного рівня, індивідуальних особливостей організму та сучасних викликів бойової діяльності [3,4,5]. Водночас недостатньою залишається інтеграція ФП з когнітивними та психофізіологічними компонентами, які відіграють ключову роль у забезпеченні ефективної діяльності в умовах підвищеного навантаження та стресу.</w:t>
      </w:r>
    </w:p>
    <w:p w:rsidR="00810A97" w:rsidRPr="00810A97" w:rsidRDefault="00810A97" w:rsidP="00810A97">
      <w:pPr>
        <w:spacing w:after="0" w:line="240" w:lineRule="auto"/>
        <w:ind w:firstLine="709"/>
        <w:jc w:val="both"/>
        <w:rPr>
          <w:sz w:val="24"/>
          <w:szCs w:val="24"/>
          <w:lang w:bidi="en-US"/>
        </w:rPr>
      </w:pPr>
      <w:r w:rsidRPr="00810A97">
        <w:rPr>
          <w:sz w:val="24"/>
          <w:szCs w:val="24"/>
          <w:lang w:bidi="en-US"/>
        </w:rPr>
        <w:t>У науковій літературі представлено значну кількість моделей фізичної та професійно-прикладної підготовки військовослужбовців і студентської молоді, що відображають специфіку різних напрямів діяльності та базуються на системному й компетентнісному підходах [6,7,8]. Ці моделі передбачають обґрунтування їх структури, змісту, етапів реалізації та педагогічних умов ефективного функціонування. Наукові розробки спрямовані на поєднання загальної та спеціальної ФП, використання сучасних тренувальних засобів і методів, а також розвиток фізичних, функціональних і професійно важливих якостей.</w:t>
      </w:r>
    </w:p>
    <w:p w:rsidR="00810A97" w:rsidRPr="00810A97" w:rsidRDefault="00810A97" w:rsidP="00810A97">
      <w:pPr>
        <w:spacing w:after="0" w:line="240" w:lineRule="auto"/>
        <w:ind w:firstLine="709"/>
        <w:jc w:val="both"/>
        <w:rPr>
          <w:sz w:val="24"/>
          <w:szCs w:val="24"/>
          <w:lang w:bidi="en-US"/>
        </w:rPr>
      </w:pPr>
      <w:r w:rsidRPr="00810A97">
        <w:rPr>
          <w:sz w:val="24"/>
          <w:szCs w:val="24"/>
          <w:lang w:bidi="en-US"/>
        </w:rPr>
        <w:t>Разом із тим, незважаючи на наявність вагомих наукових напрацювань, питання створення цілісної моделі ФП офіцерів, яка б інтегрувала фізичний, функціональний, психофізіологічний і когнітивний компоненти з урахуванням сучасних умов бойової діяльності, залишається недостатньо дослідженим. Актуальним є розроблення та наукове обґрунтування моделі, що забезпечує комплексний розвиток професійно важливих якостей, підвищення адаптаційних можливостей і ефективність виконання оперативно-професійних завдань.</w:t>
      </w:r>
    </w:p>
    <w:p w:rsidR="00810A97" w:rsidRPr="00810A97" w:rsidRDefault="00810A97" w:rsidP="00810A97">
      <w:pPr>
        <w:spacing w:after="0" w:line="240" w:lineRule="auto"/>
        <w:ind w:firstLine="709"/>
        <w:contextualSpacing/>
        <w:jc w:val="both"/>
        <w:rPr>
          <w:sz w:val="24"/>
          <w:szCs w:val="24"/>
          <w:lang w:bidi="en-US"/>
        </w:rPr>
      </w:pPr>
      <w:r w:rsidRPr="00810A97">
        <w:rPr>
          <w:b/>
          <w:sz w:val="24"/>
          <w:szCs w:val="24"/>
          <w:lang w:bidi="en-US"/>
        </w:rPr>
        <w:t>Метою дослідження</w:t>
      </w:r>
      <w:r w:rsidRPr="00810A97">
        <w:rPr>
          <w:sz w:val="24"/>
          <w:szCs w:val="24"/>
          <w:lang w:bidi="en-US"/>
        </w:rPr>
        <w:t xml:space="preserve"> є теоретично обґрунтувати структуру та зміст моделі ФП офіцерів оперативного рівня, спрямованої на вдосконалення професійно важливих фізичних і когнітивних якостей та підвищення ефективності виконання службово-бойових завдань.</w:t>
      </w:r>
    </w:p>
    <w:p w:rsidR="00810A97" w:rsidRPr="00810A97" w:rsidRDefault="00810A97" w:rsidP="00810A97">
      <w:pPr>
        <w:spacing w:after="0" w:line="240" w:lineRule="auto"/>
        <w:ind w:firstLine="709"/>
        <w:jc w:val="both"/>
        <w:rPr>
          <w:sz w:val="24"/>
          <w:szCs w:val="24"/>
          <w:lang w:bidi="en-US"/>
        </w:rPr>
      </w:pPr>
      <w:r w:rsidRPr="00810A97">
        <w:rPr>
          <w:rFonts w:eastAsia="Calibri"/>
          <w:b/>
          <w:bCs/>
          <w:sz w:val="24"/>
          <w:szCs w:val="24"/>
          <w:lang w:bidi="en-US"/>
        </w:rPr>
        <w:t>Методи й організація дослідження.</w:t>
      </w:r>
      <w:r w:rsidRPr="00810A97">
        <w:rPr>
          <w:sz w:val="24"/>
          <w:szCs w:val="24"/>
          <w:lang w:bidi="en-US"/>
        </w:rPr>
        <w:t xml:space="preserve"> Теоретичні методи містили аналіз, синтез, узагальнення та систематизацію наукових джерел з проблеми ФП військовослужбовців. У межах дослідження за принципами біомедичної етики та згоди учасників було обстежено групу офіцерів оперативного рівня (n = 201, середній вік 36,4 року). </w:t>
      </w:r>
      <w:r w:rsidRPr="00810A97">
        <w:rPr>
          <w:color w:val="000000"/>
          <w:sz w:val="24"/>
          <w:szCs w:val="24"/>
          <w:shd w:val="clear" w:color="auto" w:fill="FFFFFF"/>
          <w:lang w:bidi="en-US"/>
        </w:rPr>
        <w:t>Теоретичне та експериментальне дослідження проводилося протягом 2024-2025 рокі</w:t>
      </w:r>
      <w:r w:rsidRPr="00810A97">
        <w:rPr>
          <w:sz w:val="24"/>
          <w:szCs w:val="24"/>
          <w:lang w:bidi="en-US"/>
        </w:rPr>
        <w:t>в в умовах дії правового режиму воєнного стану,</w:t>
      </w:r>
      <w:bookmarkStart w:id="1" w:name="_Hlk130028997"/>
      <w:r w:rsidRPr="00810A97">
        <w:rPr>
          <w:sz w:val="24"/>
          <w:szCs w:val="24"/>
          <w:lang w:bidi="en-US"/>
        </w:rPr>
        <w:t xml:space="preserve"> </w:t>
      </w:r>
      <w:r w:rsidRPr="00810A97">
        <w:rPr>
          <w:color w:val="000000"/>
          <w:sz w:val="24"/>
          <w:szCs w:val="24"/>
          <w:shd w:val="clear" w:color="auto" w:fill="FFFFFF"/>
          <w:lang w:bidi="en-US"/>
        </w:rPr>
        <w:t xml:space="preserve">у відповідності до </w:t>
      </w:r>
      <w:r w:rsidRPr="00810A97">
        <w:rPr>
          <w:sz w:val="24"/>
          <w:szCs w:val="24"/>
          <w:lang w:bidi="en-US"/>
        </w:rPr>
        <w:t xml:space="preserve">плану наукової та науково-технічної діяльності Національного університету оборони України на 2024–2025 рр., у науково-дослідній роботі навчально-наукового інституту фізичної культури та спортивно-оздоровчих технологій за темою </w:t>
      </w:r>
      <w:r w:rsidRPr="00810A97">
        <w:rPr>
          <w:color w:val="000000"/>
          <w:sz w:val="24"/>
          <w:szCs w:val="24"/>
          <w:lang w:bidi="en-US"/>
        </w:rPr>
        <w:t>“</w:t>
      </w:r>
      <w:r w:rsidRPr="00810A97">
        <w:rPr>
          <w:rFonts w:eastAsia="Calibri"/>
          <w:color w:val="000000"/>
          <w:sz w:val="24"/>
          <w:szCs w:val="24"/>
          <w:lang w:bidi="en-US"/>
        </w:rPr>
        <w:t xml:space="preserve">Оптимізація </w:t>
      </w:r>
      <w:r w:rsidRPr="00810A97">
        <w:rPr>
          <w:rFonts w:eastAsia="Calibri"/>
          <w:sz w:val="24"/>
          <w:szCs w:val="24"/>
          <w:lang w:bidi="en-US"/>
        </w:rPr>
        <w:t>змісту ФП військовослужбовців органів військового управління на період дії правового режиму воєнного стану</w:t>
      </w:r>
      <w:r w:rsidRPr="00810A97">
        <w:rPr>
          <w:sz w:val="24"/>
          <w:szCs w:val="24"/>
          <w:lang w:bidi="en-US"/>
        </w:rPr>
        <w:t>”, шифр роботи “Тюнінг-2”.</w:t>
      </w:r>
      <w:bookmarkEnd w:id="1"/>
    </w:p>
    <w:p w:rsidR="00810A97" w:rsidRPr="00810A97" w:rsidRDefault="00810A97" w:rsidP="002D495E">
      <w:pPr>
        <w:spacing w:after="0" w:line="240" w:lineRule="auto"/>
        <w:ind w:firstLine="709"/>
        <w:jc w:val="both"/>
        <w:rPr>
          <w:sz w:val="24"/>
          <w:szCs w:val="24"/>
          <w:lang w:eastAsia="ru-RU"/>
        </w:rPr>
      </w:pPr>
      <w:r w:rsidRPr="00810A97">
        <w:rPr>
          <w:b/>
          <w:sz w:val="24"/>
          <w:szCs w:val="24"/>
          <w:lang w:eastAsia="ru-RU"/>
        </w:rPr>
        <w:t>Результати дослідження.</w:t>
      </w:r>
      <w:r w:rsidRPr="00810A97">
        <w:rPr>
          <w:sz w:val="24"/>
          <w:szCs w:val="24"/>
          <w:lang w:eastAsia="ru-RU"/>
        </w:rPr>
        <w:t xml:space="preserve"> Розроблена модель ФП офіцерів оперативного рівня ЗСУ ґрунтується на комплексному поєднанні концептуальних, методичних і практичних підходів, що враховують морфологічні, фізіологічні та психофізіологічні особливості військовослужбовців, специфіку службово-бойової діяльності та сучасні вимоги до професійно важливих якостей (рис. 1).</w:t>
      </w:r>
    </w:p>
    <w:p w:rsidR="00810A97" w:rsidRPr="00810A97" w:rsidRDefault="00810A97" w:rsidP="00810A97">
      <w:pPr>
        <w:spacing w:after="0" w:line="240" w:lineRule="auto"/>
        <w:ind w:firstLine="709"/>
        <w:jc w:val="both"/>
        <w:rPr>
          <w:sz w:val="24"/>
          <w:szCs w:val="24"/>
          <w:lang w:eastAsia="ru-RU"/>
        </w:rPr>
        <w:sectPr w:rsidR="00810A97" w:rsidRPr="00810A97" w:rsidSect="005457EE">
          <w:headerReference w:type="default" r:id="rId7"/>
          <w:footerReference w:type="default" r:id="rId8"/>
          <w:pgSz w:w="12240" w:h="15840"/>
          <w:pgMar w:top="1134" w:right="1418" w:bottom="1134" w:left="1418" w:header="709" w:footer="709" w:gutter="0"/>
          <w:pgNumType w:start="1"/>
          <w:cols w:space="708"/>
          <w:titlePg/>
          <w:docGrid w:linePitch="381"/>
        </w:sectPr>
      </w:pPr>
    </w:p>
    <w:p w:rsidR="00810A97" w:rsidRPr="00810A97" w:rsidRDefault="00810A97" w:rsidP="00810A97">
      <w:pPr>
        <w:spacing w:after="0" w:line="240" w:lineRule="auto"/>
        <w:ind w:left="-142"/>
        <w:jc w:val="center"/>
        <w:rPr>
          <w:sz w:val="24"/>
          <w:szCs w:val="24"/>
          <w:lang w:eastAsia="ru-RU"/>
        </w:rPr>
      </w:pPr>
      <w:r w:rsidRPr="00D623D3">
        <w:rPr>
          <w:noProof/>
          <w:lang w:eastAsia="uk-UA"/>
        </w:rPr>
        <w:lastRenderedPageBreak/>
        <w:drawing>
          <wp:inline distT="0" distB="0" distL="0" distR="0">
            <wp:extent cx="7881444" cy="5943880"/>
            <wp:effectExtent l="0" t="0" r="5715" b="0"/>
            <wp:docPr id="17128989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5436" t="4839" r="6116" b="8798"/>
                    <a:stretch>
                      <a:fillRect/>
                    </a:stretch>
                  </pic:blipFill>
                  <pic:spPr bwMode="auto">
                    <a:xfrm>
                      <a:off x="0" y="0"/>
                      <a:ext cx="7884525" cy="5946204"/>
                    </a:xfrm>
                    <a:prstGeom prst="rect">
                      <a:avLst/>
                    </a:prstGeom>
                    <a:noFill/>
                    <a:ln>
                      <a:noFill/>
                    </a:ln>
                  </pic:spPr>
                </pic:pic>
              </a:graphicData>
            </a:graphic>
          </wp:inline>
        </w:drawing>
      </w:r>
    </w:p>
    <w:p w:rsidR="00810A97" w:rsidRPr="00810A97" w:rsidRDefault="00810A97" w:rsidP="00810A97">
      <w:pPr>
        <w:spacing w:after="0" w:line="240" w:lineRule="auto"/>
        <w:ind w:left="-142"/>
        <w:jc w:val="center"/>
        <w:rPr>
          <w:i/>
          <w:sz w:val="24"/>
          <w:szCs w:val="24"/>
          <w:lang w:eastAsia="ru-RU"/>
        </w:rPr>
      </w:pPr>
      <w:r w:rsidRPr="00810A97">
        <w:rPr>
          <w:sz w:val="24"/>
          <w:szCs w:val="24"/>
          <w:lang w:eastAsia="ru-RU"/>
        </w:rPr>
        <w:t>Рисунок 1. М</w:t>
      </w:r>
      <w:r w:rsidRPr="00810A97">
        <w:rPr>
          <w:sz w:val="24"/>
          <w:szCs w:val="24"/>
          <w:lang w:eastAsia="uk-UA"/>
        </w:rPr>
        <w:t xml:space="preserve">одель </w:t>
      </w:r>
      <w:r w:rsidRPr="00810A97">
        <w:rPr>
          <w:sz w:val="24"/>
          <w:szCs w:val="24"/>
          <w:lang w:eastAsia="ru-RU"/>
        </w:rPr>
        <w:t>фізичної підготовки офіцерів оперативного рівня Збройних Сил України</w:t>
      </w:r>
      <w:r w:rsidRPr="00810A97">
        <w:rPr>
          <w:i/>
          <w:sz w:val="24"/>
          <w:szCs w:val="24"/>
          <w:lang w:eastAsia="ru-RU"/>
        </w:rPr>
        <w:br w:type="page"/>
      </w:r>
    </w:p>
    <w:p w:rsidR="00810A97" w:rsidRPr="00810A97" w:rsidRDefault="00810A97" w:rsidP="00810A97">
      <w:pPr>
        <w:spacing w:after="0" w:line="240" w:lineRule="auto"/>
        <w:ind w:firstLine="709"/>
        <w:jc w:val="both"/>
        <w:rPr>
          <w:i/>
          <w:sz w:val="24"/>
          <w:szCs w:val="24"/>
          <w:lang w:eastAsia="ru-RU"/>
        </w:rPr>
        <w:sectPr w:rsidR="00810A97" w:rsidRPr="00810A97" w:rsidSect="00C07F42">
          <w:pgSz w:w="15840" w:h="12240" w:orient="landscape"/>
          <w:pgMar w:top="709" w:right="1134" w:bottom="709" w:left="1134" w:header="709" w:footer="709" w:gutter="0"/>
          <w:cols w:space="708"/>
          <w:docGrid w:linePitch="360"/>
        </w:sectPr>
      </w:pP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lastRenderedPageBreak/>
        <w:t>Передумовами створення моделі ФП офіцерів є сучасні трансформації військової служби та підвищені професійні вимоги до особового складу. Вони визначають необхідність спрямування ФП на розвиток професійно значущих фізичних, функціональних і когнітивних якостей, що забезпечують ефективну діяльність в умовах динамічної та напруженої обстановки. Зміна характеру бойових дій, технологічний розвиток та варіативність завдань підкреслюють потребу у високій фізичній витривалості, когнітивній мобільності, здатності до швидкої адаптації та прийняття рішень у непередбачуваних умовах. При цьому важливим є поєднання фізичної та функціональної підготовки, індивідуалізація навантажень і розвиток стресостійкості та психофізичної надійності.</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 xml:space="preserve">Саме на основі даних передумов і формується </w:t>
      </w:r>
      <w:r w:rsidRPr="00810A97">
        <w:rPr>
          <w:i/>
          <w:sz w:val="24"/>
          <w:szCs w:val="24"/>
          <w:lang w:eastAsia="ru-RU"/>
        </w:rPr>
        <w:t>мета моделі</w:t>
      </w:r>
      <w:r w:rsidRPr="00810A97">
        <w:rPr>
          <w:sz w:val="24"/>
          <w:szCs w:val="24"/>
          <w:lang w:eastAsia="ru-RU"/>
        </w:rPr>
        <w:t xml:space="preserve"> – вдосконалення професійно важливих фізичних і когнітивних якостей офіцерів оперативного рівня. Модель передбачає інтегрований розвиток сили, витривалості, швидкості та координації у поєднанні зі здатністю до аналізу ситуації, прийняття рішень і підтримання концентрації в умовах навантаження. Реалізація таких підходів забезпечує комплексний розвиток організму, підвищує стресостійкість і адаптаційні можливості, а також сприяє загальній ефективності професійної діяльності та готовності до виконання службово-бойових завдань [9,10,11].</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Для досягнення мети моделі визначено завдання, спрямовані на комплексний розвиток професійно важливих якостей офіцерів оперативного рівня. Вони передбачають формування пропорційної тілобудови, підвищення функціональних можливостей серцево-судинної та дихальної систем, розвиток когнітивних здібностей (аналіз, прийняття рішень, концентрація уваги), а також удосконалення фізичних якостей – сили, витривалості, швидкості та координації. Важливим є також оптимізація адаптаційного процесу, що передбачає реалізацію визначених завдань на основі поєднання фізичних тренувань із когнітивними й тактичними вправами та моделювання умов професійної діяльності [12,13,14].</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Функціонування моделі забезпечується комплексом педагогічних умов: формуванням позитивної мотивації до занять, оновленням змісту ФП відповідно до сучасних вимог, індивідуалізацією навантажень з урахуванням функціонального стану та систематичним контролем із подальшою корекцією підготовки. Сукупність зазначених умов охоплює мотиваційний, змістовий, індивідуально-диференційований і контрольно-коригувальний аспекти ФП, що забезпечує її ефективність [15,16].</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 xml:space="preserve">Фізична підготовка офіцерів оперативного рівня ЗСУ в умовах сучасних трансформацій потребує чіткої методологічної основи, що забезпечує узгодженість між метою, завданнями, педагогічними умовами, змістом і критеріями ефективності. Такою основою є система принципів: науковості, системності, індивідуалізації та професійної спрямованості, які визначають логіку побудови моделі. </w:t>
      </w:r>
      <w:r w:rsidRPr="00810A97">
        <w:rPr>
          <w:i/>
          <w:sz w:val="24"/>
          <w:szCs w:val="24"/>
          <w:lang w:eastAsia="ru-RU"/>
        </w:rPr>
        <w:t>Принцип науковості</w:t>
      </w:r>
      <w:r w:rsidRPr="00810A97">
        <w:rPr>
          <w:sz w:val="24"/>
          <w:szCs w:val="24"/>
          <w:lang w:eastAsia="ru-RU"/>
        </w:rPr>
        <w:t xml:space="preserve"> передбачає використання сучасних досягнень фізіології, теорії фізичного виховання, психології та військової медицини, забезпечуючи обґрунтованість і об’єктивність контролю. </w:t>
      </w:r>
      <w:r w:rsidRPr="00810A97">
        <w:rPr>
          <w:i/>
          <w:sz w:val="24"/>
          <w:szCs w:val="24"/>
          <w:lang w:eastAsia="ru-RU"/>
        </w:rPr>
        <w:t>Принцип системності</w:t>
      </w:r>
      <w:r w:rsidRPr="00810A97">
        <w:rPr>
          <w:sz w:val="24"/>
          <w:szCs w:val="24"/>
          <w:lang w:eastAsia="ru-RU"/>
        </w:rPr>
        <w:t xml:space="preserve"> гарантує цілісність і взаємозв’язок усіх елементів підготовки та ефективність зворотного зв’язку. </w:t>
      </w:r>
      <w:r w:rsidRPr="00810A97">
        <w:rPr>
          <w:i/>
          <w:sz w:val="24"/>
          <w:szCs w:val="24"/>
          <w:lang w:eastAsia="ru-RU"/>
        </w:rPr>
        <w:t>Принцип індивідуалізації</w:t>
      </w:r>
      <w:r w:rsidRPr="00810A97">
        <w:rPr>
          <w:sz w:val="24"/>
          <w:szCs w:val="24"/>
          <w:lang w:eastAsia="ru-RU"/>
        </w:rPr>
        <w:t xml:space="preserve"> реалізується через адаптацію програм і диференціацію навантажень з урахуванням особливостей офіцерів. </w:t>
      </w:r>
      <w:r w:rsidRPr="00810A97">
        <w:rPr>
          <w:i/>
          <w:sz w:val="24"/>
          <w:szCs w:val="24"/>
          <w:lang w:eastAsia="ru-RU"/>
        </w:rPr>
        <w:t>Принцип професійної спрямованості</w:t>
      </w:r>
      <w:r w:rsidRPr="00810A97">
        <w:rPr>
          <w:sz w:val="24"/>
          <w:szCs w:val="24"/>
          <w:lang w:eastAsia="ru-RU"/>
        </w:rPr>
        <w:t xml:space="preserve"> орієнтує підготовку на розвиток якостей, необхідних для виконання службово-бойових завдань. Комплексне застосування цих принципів забезпечує цілісність і ефективність моделі, сприяє розвитку фізичних і когнітивних якостей та підвищенню готовності офіцерів до професійної діяльності.</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 xml:space="preserve">Методи ФП офіцерів оперативного рівня ЗСУ забезпечують реалізацію мети, завдань і педагогічних умов моделі, впливаючи на фізичний розвиток, функціональні можливості, адаптаційний потенціал та когнітивні здібності [17,18,19]. </w:t>
      </w:r>
      <w:r w:rsidRPr="00810A97">
        <w:rPr>
          <w:rFonts w:eastAsia="Calibri"/>
          <w:b/>
          <w:bCs/>
          <w:sz w:val="24"/>
          <w:szCs w:val="24"/>
          <w:lang w:eastAsia="ru-RU"/>
        </w:rPr>
        <w:t>Груповий метод</w:t>
      </w:r>
      <w:r w:rsidRPr="00810A97">
        <w:rPr>
          <w:sz w:val="24"/>
          <w:szCs w:val="24"/>
          <w:lang w:eastAsia="ru-RU"/>
        </w:rPr>
        <w:t xml:space="preserve"> формує колективну взаємодію, дисципліну та командоутворення, підвищує </w:t>
      </w:r>
      <w:r w:rsidRPr="00810A97">
        <w:rPr>
          <w:sz w:val="24"/>
          <w:szCs w:val="24"/>
          <w:lang w:eastAsia="ru-RU"/>
        </w:rPr>
        <w:lastRenderedPageBreak/>
        <w:t xml:space="preserve">мотивацію та соціально-психологічну стійкість. </w:t>
      </w:r>
      <w:r w:rsidRPr="00810A97">
        <w:rPr>
          <w:rFonts w:eastAsia="Calibri"/>
          <w:b/>
          <w:bCs/>
          <w:sz w:val="24"/>
          <w:szCs w:val="24"/>
          <w:lang w:eastAsia="ru-RU"/>
        </w:rPr>
        <w:t>Колове тренування</w:t>
      </w:r>
      <w:r w:rsidRPr="00810A97">
        <w:rPr>
          <w:sz w:val="24"/>
          <w:szCs w:val="24"/>
          <w:lang w:eastAsia="ru-RU"/>
        </w:rPr>
        <w:t xml:space="preserve"> забезпечує комплексний розвиток фізичних якостей і витривалості, </w:t>
      </w:r>
      <w:r w:rsidRPr="00810A97">
        <w:rPr>
          <w:rFonts w:eastAsia="Calibri"/>
          <w:b/>
          <w:bCs/>
          <w:i/>
          <w:sz w:val="24"/>
          <w:szCs w:val="24"/>
          <w:lang w:eastAsia="ru-RU"/>
        </w:rPr>
        <w:t>повторний метод</w:t>
      </w:r>
      <w:r w:rsidRPr="00810A97">
        <w:rPr>
          <w:i/>
          <w:sz w:val="24"/>
          <w:szCs w:val="24"/>
          <w:lang w:eastAsia="ru-RU"/>
        </w:rPr>
        <w:t xml:space="preserve"> </w:t>
      </w:r>
      <w:r w:rsidRPr="00810A97">
        <w:rPr>
          <w:sz w:val="24"/>
          <w:szCs w:val="24"/>
          <w:lang w:eastAsia="ru-RU"/>
        </w:rPr>
        <w:t xml:space="preserve">– удосконалює рухові навички, силу та швидкість. </w:t>
      </w:r>
      <w:r w:rsidRPr="00810A97">
        <w:rPr>
          <w:rFonts w:eastAsia="Calibri"/>
          <w:b/>
          <w:bCs/>
          <w:i/>
          <w:sz w:val="24"/>
          <w:szCs w:val="24"/>
          <w:lang w:eastAsia="ru-RU"/>
        </w:rPr>
        <w:t>Інтервальний метод</w:t>
      </w:r>
      <w:r w:rsidRPr="00810A97">
        <w:rPr>
          <w:sz w:val="24"/>
          <w:szCs w:val="24"/>
          <w:lang w:eastAsia="ru-RU"/>
        </w:rPr>
        <w:t xml:space="preserve"> розвиває кардіореспіраторну систему, стресостійкість і адаптаційні здібності, </w:t>
      </w:r>
      <w:r w:rsidRPr="00810A97">
        <w:rPr>
          <w:rFonts w:eastAsia="Calibri"/>
          <w:b/>
          <w:bCs/>
          <w:i/>
          <w:sz w:val="24"/>
          <w:szCs w:val="24"/>
          <w:lang w:eastAsia="ru-RU"/>
        </w:rPr>
        <w:t>безперервний</w:t>
      </w:r>
      <w:r w:rsidRPr="00810A97">
        <w:rPr>
          <w:sz w:val="24"/>
          <w:szCs w:val="24"/>
          <w:lang w:eastAsia="ru-RU"/>
        </w:rPr>
        <w:t xml:space="preserve"> – загальну витривалість. </w:t>
      </w:r>
      <w:r w:rsidRPr="00810A97">
        <w:rPr>
          <w:rFonts w:eastAsia="Calibri"/>
          <w:b/>
          <w:bCs/>
          <w:i/>
          <w:sz w:val="24"/>
          <w:szCs w:val="24"/>
          <w:lang w:eastAsia="ru-RU"/>
        </w:rPr>
        <w:t>Ігровий метод</w:t>
      </w:r>
      <w:r w:rsidRPr="00810A97">
        <w:rPr>
          <w:sz w:val="24"/>
          <w:szCs w:val="24"/>
          <w:lang w:eastAsia="ru-RU"/>
        </w:rPr>
        <w:t xml:space="preserve"> через рухливі та ігрові види спорту розвиває швидкість, координацію, тактичне мислення та командну взаємодію, підвищуючи мотивацію й знижуючи психоемоційне напруження [20,21,22]. </w:t>
      </w:r>
      <w:r w:rsidRPr="00810A97">
        <w:rPr>
          <w:rFonts w:eastAsia="Calibri"/>
          <w:b/>
          <w:bCs/>
          <w:i/>
          <w:sz w:val="24"/>
          <w:szCs w:val="24"/>
          <w:lang w:eastAsia="ru-RU"/>
        </w:rPr>
        <w:t>Змагальний метод</w:t>
      </w:r>
      <w:r w:rsidRPr="00810A97">
        <w:rPr>
          <w:sz w:val="24"/>
          <w:szCs w:val="24"/>
          <w:lang w:eastAsia="ru-RU"/>
        </w:rPr>
        <w:t xml:space="preserve"> стимулює мобілізацію ресурсів, розвиток волі, рішучості та лідерських якостей. </w:t>
      </w:r>
      <w:r w:rsidRPr="00810A97">
        <w:rPr>
          <w:rFonts w:eastAsia="Calibri"/>
          <w:b/>
          <w:bCs/>
          <w:i/>
          <w:sz w:val="24"/>
          <w:szCs w:val="24"/>
          <w:lang w:eastAsia="ru-RU"/>
        </w:rPr>
        <w:t>Індивідуальний метод</w:t>
      </w:r>
      <w:r w:rsidRPr="00810A97">
        <w:rPr>
          <w:sz w:val="24"/>
          <w:szCs w:val="24"/>
          <w:lang w:eastAsia="ru-RU"/>
        </w:rPr>
        <w:t xml:space="preserve"> адаптує тренування до фізичного стану та особливостей офіцера, реалізуючи принцип індивідуалізації. Комплексне застосування даних методів забезпечує цілісну систему ФП, інтегруючи фізичні та когнітивні компоненти, підвищуючи адаптаційні можливості, мотивацію та професійну готовність офіцерів до виконання професійних завдань.</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 xml:space="preserve">Організація ФП офіцерів оперативного рівня передбачає використання різних форм занять, що забезпечують системність, ефективність і цілеспрямованість навчально-тренувального процесу: навчально-тренувальні заняття, спортивно-масову роботу, фізичне тренування під час навчально-бойової діяльності та самостійну роботу (індивідуальне фізичне тренування). </w:t>
      </w:r>
      <w:r w:rsidRPr="00810A97">
        <w:rPr>
          <w:rFonts w:eastAsia="Calibri"/>
          <w:b/>
          <w:bCs/>
          <w:i/>
          <w:sz w:val="24"/>
          <w:szCs w:val="24"/>
          <w:lang w:eastAsia="ru-RU"/>
        </w:rPr>
        <w:t>Навчально-тренувальні заняття</w:t>
      </w:r>
      <w:r w:rsidRPr="00810A97">
        <w:rPr>
          <w:sz w:val="24"/>
          <w:szCs w:val="24"/>
          <w:lang w:eastAsia="ru-RU"/>
        </w:rPr>
        <w:t xml:space="preserve"> поєднують теоретичну та практичну підготовку, забезпечують поступове оволодіння руховими навичками та розвиток фізичних якостей під контролем викладачів. </w:t>
      </w:r>
      <w:r w:rsidRPr="00810A97">
        <w:rPr>
          <w:rFonts w:eastAsia="Calibri"/>
          <w:b/>
          <w:bCs/>
          <w:i/>
          <w:sz w:val="24"/>
          <w:szCs w:val="24"/>
          <w:lang w:eastAsia="ru-RU"/>
        </w:rPr>
        <w:t>Спортивно-масова робота</w:t>
      </w:r>
      <w:r w:rsidRPr="00810A97">
        <w:rPr>
          <w:sz w:val="24"/>
          <w:szCs w:val="24"/>
          <w:lang w:eastAsia="ru-RU"/>
        </w:rPr>
        <w:t xml:space="preserve"> підвищує фізичну підготовленість, мотивацію та соціально-психологічну стійкість через змагання і командну взаємодію. </w:t>
      </w:r>
      <w:r w:rsidRPr="00810A97">
        <w:rPr>
          <w:rFonts w:eastAsia="Calibri"/>
          <w:b/>
          <w:bCs/>
          <w:i/>
          <w:sz w:val="24"/>
          <w:szCs w:val="24"/>
          <w:lang w:eastAsia="ru-RU"/>
        </w:rPr>
        <w:t>Фізичне тренування у навчально-бойовій діяльності</w:t>
      </w:r>
      <w:r w:rsidRPr="00810A97">
        <w:rPr>
          <w:sz w:val="24"/>
          <w:szCs w:val="24"/>
          <w:lang w:eastAsia="ru-RU"/>
        </w:rPr>
        <w:t xml:space="preserve"> інтегрує фізичні вправи у службові завдання, підвищуючи готовність та прикладну ефективність рухових умінь. </w:t>
      </w:r>
      <w:r w:rsidRPr="00810A97">
        <w:rPr>
          <w:rFonts w:eastAsia="Calibri"/>
          <w:b/>
          <w:bCs/>
          <w:i/>
          <w:sz w:val="24"/>
          <w:szCs w:val="24"/>
          <w:lang w:eastAsia="ru-RU"/>
        </w:rPr>
        <w:t>Самостійна робота</w:t>
      </w:r>
      <w:r w:rsidRPr="00810A97">
        <w:rPr>
          <w:sz w:val="24"/>
          <w:szCs w:val="24"/>
          <w:lang w:eastAsia="ru-RU"/>
        </w:rPr>
        <w:t xml:space="preserve"> </w:t>
      </w:r>
      <w:r w:rsidRPr="00810A97">
        <w:rPr>
          <w:i/>
          <w:sz w:val="24"/>
          <w:szCs w:val="24"/>
          <w:lang w:eastAsia="ru-RU"/>
        </w:rPr>
        <w:t>(індивідуальне фізичне тренування)</w:t>
      </w:r>
      <w:r w:rsidRPr="00810A97">
        <w:rPr>
          <w:sz w:val="24"/>
          <w:szCs w:val="24"/>
          <w:lang w:eastAsia="ru-RU"/>
        </w:rPr>
        <w:t xml:space="preserve"> забезпечує індивідуалізацію тренувань, формує самоконтроль і відповідальність за фізичний стан, підтримуючи рівень підготовленості поза організованими заняттями. Поєднання визначених форм створює цілісну систему ФП, спрямовану на комплексний розвиток фізичних, функціональних та професійно важливих якостей офіцерів, підвищення фізичної готовності, функціональних резервів провідних систем організму та здатності ефективно виконувати завдання за призначенням в сучасних умовах.</w:t>
      </w:r>
    </w:p>
    <w:p w:rsidR="00810A97" w:rsidRPr="00810A97" w:rsidRDefault="00810A97" w:rsidP="00810A97">
      <w:pPr>
        <w:tabs>
          <w:tab w:val="left" w:pos="1276"/>
        </w:tabs>
        <w:spacing w:after="0" w:line="240" w:lineRule="auto"/>
        <w:ind w:firstLine="709"/>
        <w:jc w:val="both"/>
        <w:rPr>
          <w:sz w:val="24"/>
          <w:szCs w:val="24"/>
          <w:lang w:eastAsia="uk-UA"/>
        </w:rPr>
      </w:pPr>
      <w:r w:rsidRPr="00810A97">
        <w:rPr>
          <w:sz w:val="24"/>
          <w:szCs w:val="24"/>
          <w:lang w:eastAsia="uk-UA"/>
        </w:rPr>
        <w:t>Засоби ФП офіцерів оперативного рівня є ключовим інструментом реалізації передумов, мети, завдань і педагогічних умов підготовки, забезпечуючи комплексний розвиток фізичних, функціональних і когнітивних якостей. Основні засоби включають:</w:t>
      </w:r>
    </w:p>
    <w:p w:rsidR="00810A97" w:rsidRPr="00810A97" w:rsidRDefault="00810A97" w:rsidP="00810A97">
      <w:pPr>
        <w:numPr>
          <w:ilvl w:val="0"/>
          <w:numId w:val="4"/>
        </w:numPr>
        <w:tabs>
          <w:tab w:val="left" w:pos="993"/>
        </w:tabs>
        <w:spacing w:after="0" w:line="240" w:lineRule="auto"/>
        <w:ind w:left="0" w:firstLine="709"/>
        <w:jc w:val="both"/>
        <w:rPr>
          <w:sz w:val="24"/>
          <w:szCs w:val="24"/>
          <w:lang w:eastAsia="uk-UA"/>
        </w:rPr>
      </w:pPr>
      <w:r w:rsidRPr="00810A97">
        <w:rPr>
          <w:bCs/>
          <w:i/>
          <w:sz w:val="24"/>
          <w:szCs w:val="24"/>
          <w:lang w:eastAsia="uk-UA"/>
        </w:rPr>
        <w:t>загальнорозвиваючі вправи</w:t>
      </w:r>
      <w:r w:rsidRPr="00810A97">
        <w:rPr>
          <w:sz w:val="24"/>
          <w:szCs w:val="24"/>
          <w:lang w:eastAsia="uk-UA"/>
        </w:rPr>
        <w:t xml:space="preserve"> – формують </w:t>
      </w:r>
      <w:r w:rsidRPr="00810A97">
        <w:rPr>
          <w:sz w:val="24"/>
          <w:szCs w:val="24"/>
          <w:lang w:eastAsia="ru-RU"/>
        </w:rPr>
        <w:t>пропорцій</w:t>
      </w:r>
      <w:r w:rsidRPr="00810A97">
        <w:rPr>
          <w:sz w:val="24"/>
          <w:szCs w:val="24"/>
          <w:lang w:eastAsia="uk-UA"/>
        </w:rPr>
        <w:t xml:space="preserve">ну тілобудову, базові фізичні якості та функціональні можливості </w:t>
      </w:r>
      <w:r w:rsidRPr="00810A97">
        <w:rPr>
          <w:sz w:val="24"/>
          <w:szCs w:val="24"/>
          <w:lang w:eastAsia="ru-RU"/>
        </w:rPr>
        <w:t xml:space="preserve">провідних систем </w:t>
      </w:r>
      <w:r w:rsidRPr="00810A97">
        <w:rPr>
          <w:sz w:val="24"/>
          <w:szCs w:val="24"/>
          <w:lang w:eastAsia="uk-UA"/>
        </w:rPr>
        <w:t>організму;</w:t>
      </w:r>
    </w:p>
    <w:p w:rsidR="00810A97" w:rsidRPr="00810A97" w:rsidRDefault="00810A97" w:rsidP="00810A97">
      <w:pPr>
        <w:numPr>
          <w:ilvl w:val="0"/>
          <w:numId w:val="4"/>
        </w:numPr>
        <w:tabs>
          <w:tab w:val="left" w:pos="993"/>
        </w:tabs>
        <w:spacing w:after="0" w:line="240" w:lineRule="auto"/>
        <w:ind w:left="0" w:firstLine="709"/>
        <w:jc w:val="both"/>
        <w:rPr>
          <w:sz w:val="24"/>
          <w:szCs w:val="24"/>
          <w:lang w:eastAsia="uk-UA"/>
        </w:rPr>
      </w:pPr>
      <w:r w:rsidRPr="00810A97">
        <w:rPr>
          <w:bCs/>
          <w:i/>
          <w:sz w:val="24"/>
          <w:szCs w:val="24"/>
          <w:lang w:eastAsia="uk-UA"/>
        </w:rPr>
        <w:t>спеціально-прикладні вправи</w:t>
      </w:r>
      <w:r w:rsidRPr="00810A97">
        <w:rPr>
          <w:sz w:val="24"/>
          <w:szCs w:val="24"/>
          <w:lang w:eastAsia="uk-UA"/>
        </w:rPr>
        <w:t xml:space="preserve"> – розвивають рухові навички, наближені до службово-бойової діяльності, та когнітивні здібності (координація, швидкість прийняття рішень, просторове орієнтування);</w:t>
      </w:r>
    </w:p>
    <w:p w:rsidR="00810A97" w:rsidRPr="00810A97" w:rsidRDefault="00810A97" w:rsidP="00810A97">
      <w:pPr>
        <w:numPr>
          <w:ilvl w:val="0"/>
          <w:numId w:val="4"/>
        </w:numPr>
        <w:tabs>
          <w:tab w:val="left" w:pos="993"/>
        </w:tabs>
        <w:spacing w:after="0" w:line="240" w:lineRule="auto"/>
        <w:ind w:left="0" w:firstLine="709"/>
        <w:jc w:val="both"/>
        <w:rPr>
          <w:sz w:val="24"/>
          <w:szCs w:val="24"/>
          <w:lang w:eastAsia="uk-UA"/>
        </w:rPr>
      </w:pPr>
      <w:r w:rsidRPr="00810A97">
        <w:rPr>
          <w:bCs/>
          <w:i/>
          <w:sz w:val="24"/>
          <w:szCs w:val="24"/>
          <w:lang w:eastAsia="uk-UA"/>
        </w:rPr>
        <w:t>вправи з різною інтенсивністю</w:t>
      </w:r>
      <w:r w:rsidRPr="00810A97">
        <w:rPr>
          <w:sz w:val="24"/>
          <w:szCs w:val="24"/>
          <w:lang w:eastAsia="uk-UA"/>
        </w:rPr>
        <w:t xml:space="preserve"> – оптимізують функціональні системи, підвищують витривалість, силу, швидкість і стресостійкість;</w:t>
      </w:r>
    </w:p>
    <w:p w:rsidR="00810A97" w:rsidRPr="00810A97" w:rsidRDefault="00810A97" w:rsidP="00810A97">
      <w:pPr>
        <w:numPr>
          <w:ilvl w:val="0"/>
          <w:numId w:val="4"/>
        </w:numPr>
        <w:tabs>
          <w:tab w:val="left" w:pos="993"/>
        </w:tabs>
        <w:spacing w:after="0" w:line="240" w:lineRule="auto"/>
        <w:ind w:left="0" w:firstLine="709"/>
        <w:jc w:val="both"/>
        <w:rPr>
          <w:sz w:val="24"/>
          <w:szCs w:val="24"/>
          <w:lang w:eastAsia="uk-UA"/>
        </w:rPr>
      </w:pPr>
      <w:r w:rsidRPr="00810A97">
        <w:rPr>
          <w:bCs/>
          <w:i/>
          <w:sz w:val="24"/>
          <w:szCs w:val="24"/>
          <w:lang w:eastAsia="uk-UA"/>
        </w:rPr>
        <w:t>відновлювальні та дихальні вправи</w:t>
      </w:r>
      <w:r w:rsidRPr="00810A97">
        <w:rPr>
          <w:sz w:val="24"/>
          <w:szCs w:val="24"/>
          <w:lang w:eastAsia="uk-UA"/>
        </w:rPr>
        <w:t xml:space="preserve"> – забезпечують регуляцію стану організму, покращують адаптаційні механізми та психофізіологічну стійкість.</w:t>
      </w:r>
    </w:p>
    <w:p w:rsidR="00810A97" w:rsidRPr="00810A97" w:rsidRDefault="00810A97" w:rsidP="00810A97">
      <w:pPr>
        <w:tabs>
          <w:tab w:val="left" w:pos="1276"/>
        </w:tabs>
        <w:spacing w:after="0" w:line="240" w:lineRule="auto"/>
        <w:ind w:firstLine="709"/>
        <w:jc w:val="both"/>
        <w:rPr>
          <w:sz w:val="24"/>
          <w:szCs w:val="24"/>
          <w:lang w:eastAsia="uk-UA"/>
        </w:rPr>
      </w:pPr>
      <w:r w:rsidRPr="00810A97">
        <w:rPr>
          <w:sz w:val="24"/>
          <w:szCs w:val="24"/>
          <w:lang w:eastAsia="uk-UA"/>
        </w:rPr>
        <w:t xml:space="preserve">Комплексне застосування даних засобів формує базу фізичного розвитку, професійну адаптацію, функціональні резерви </w:t>
      </w:r>
      <w:r w:rsidRPr="00810A97">
        <w:rPr>
          <w:sz w:val="24"/>
          <w:szCs w:val="24"/>
          <w:lang w:eastAsia="ru-RU"/>
        </w:rPr>
        <w:t xml:space="preserve">провідних систем </w:t>
      </w:r>
      <w:r w:rsidRPr="00810A97">
        <w:rPr>
          <w:sz w:val="24"/>
          <w:szCs w:val="24"/>
          <w:lang w:eastAsia="uk-UA"/>
        </w:rPr>
        <w:t>організму та ефективність підготовки, відповідає педагогічним умовам індивідуалізації, оновлення змісту та контролю, а також реалізує принципи науковості, системності, індивідуалізації і професійної спрямованості, забезпечуючи розвиток професійно важливих якостей офіцерів і підготовку до ефективного виконання завдань за призначенням.</w:t>
      </w:r>
    </w:p>
    <w:p w:rsidR="00810A97" w:rsidRPr="00810A97" w:rsidRDefault="00810A97" w:rsidP="00810A97">
      <w:pPr>
        <w:tabs>
          <w:tab w:val="left" w:pos="1276"/>
        </w:tabs>
        <w:spacing w:after="0" w:line="240" w:lineRule="auto"/>
        <w:ind w:firstLine="709"/>
        <w:jc w:val="both"/>
        <w:rPr>
          <w:sz w:val="24"/>
          <w:szCs w:val="24"/>
          <w:lang w:eastAsia="uk-UA"/>
        </w:rPr>
      </w:pPr>
      <w:r w:rsidRPr="00810A97">
        <w:rPr>
          <w:sz w:val="24"/>
          <w:szCs w:val="24"/>
          <w:lang w:eastAsia="uk-UA"/>
        </w:rPr>
        <w:lastRenderedPageBreak/>
        <w:t xml:space="preserve">Структура моделі ФП офіцерів оперативного рівня включає п’ять компонентів: </w:t>
      </w:r>
      <w:r w:rsidRPr="00810A97">
        <w:rPr>
          <w:bCs/>
          <w:sz w:val="24"/>
          <w:szCs w:val="24"/>
          <w:lang w:eastAsia="uk-UA"/>
        </w:rPr>
        <w:t>фізичний розвиток, кардіореспіраторну систему, адаптаційний потенціал та стресостійкість, когнітивні здібності та фізичну підготовленість</w:t>
      </w:r>
      <w:r w:rsidRPr="00810A97">
        <w:rPr>
          <w:sz w:val="24"/>
          <w:szCs w:val="24"/>
          <w:lang w:eastAsia="uk-UA"/>
        </w:rPr>
        <w:t>. Вибір компонентів обґрунтований факторним аналізом із методом головних компонент, який виявив найбільш інформативні змінні (власні значення &gt;1,0), що забезпечує статистичну значущість і репрезентативність моделі.</w:t>
      </w:r>
    </w:p>
    <w:p w:rsidR="00810A97" w:rsidRPr="00810A97" w:rsidRDefault="00810A97" w:rsidP="00E32BE0">
      <w:pPr>
        <w:numPr>
          <w:ilvl w:val="0"/>
          <w:numId w:val="3"/>
        </w:numPr>
        <w:tabs>
          <w:tab w:val="left" w:pos="567"/>
        </w:tabs>
        <w:spacing w:after="0" w:line="240" w:lineRule="auto"/>
        <w:ind w:left="0" w:firstLine="0"/>
        <w:jc w:val="both"/>
        <w:rPr>
          <w:sz w:val="24"/>
          <w:szCs w:val="24"/>
          <w:lang w:eastAsia="uk-UA"/>
        </w:rPr>
      </w:pPr>
      <w:r w:rsidRPr="00810A97">
        <w:rPr>
          <w:bCs/>
          <w:i/>
          <w:sz w:val="24"/>
          <w:szCs w:val="24"/>
          <w:lang w:eastAsia="uk-UA"/>
        </w:rPr>
        <w:t>Фізичний розвиток</w:t>
      </w:r>
      <w:r w:rsidRPr="00810A97">
        <w:rPr>
          <w:sz w:val="24"/>
          <w:szCs w:val="24"/>
          <w:lang w:eastAsia="uk-UA"/>
        </w:rPr>
        <w:t xml:space="preserve"> – антропометричні показники та склад тіла, визначає морфологічну основу фізичного стану.</w:t>
      </w:r>
    </w:p>
    <w:p w:rsidR="00810A97" w:rsidRPr="00810A97" w:rsidRDefault="00810A97" w:rsidP="00E32BE0">
      <w:pPr>
        <w:numPr>
          <w:ilvl w:val="0"/>
          <w:numId w:val="3"/>
        </w:numPr>
        <w:tabs>
          <w:tab w:val="left" w:pos="567"/>
        </w:tabs>
        <w:spacing w:after="0" w:line="240" w:lineRule="auto"/>
        <w:ind w:left="0" w:firstLine="0"/>
        <w:jc w:val="both"/>
        <w:rPr>
          <w:sz w:val="24"/>
          <w:szCs w:val="24"/>
          <w:lang w:eastAsia="uk-UA"/>
        </w:rPr>
      </w:pPr>
      <w:r w:rsidRPr="00810A97">
        <w:rPr>
          <w:bCs/>
          <w:i/>
          <w:sz w:val="24"/>
          <w:szCs w:val="24"/>
          <w:lang w:eastAsia="uk-UA"/>
        </w:rPr>
        <w:t>Кардіореспіраторна система</w:t>
      </w:r>
      <w:r w:rsidRPr="00810A97">
        <w:rPr>
          <w:sz w:val="24"/>
          <w:szCs w:val="24"/>
          <w:lang w:eastAsia="uk-UA"/>
        </w:rPr>
        <w:t xml:space="preserve"> – стан серцево-судинної та дихальної систем, визначає витривалість і енергетичні можливості.</w:t>
      </w:r>
    </w:p>
    <w:p w:rsidR="00810A97" w:rsidRPr="00810A97" w:rsidRDefault="00810A97" w:rsidP="00E32BE0">
      <w:pPr>
        <w:numPr>
          <w:ilvl w:val="0"/>
          <w:numId w:val="3"/>
        </w:numPr>
        <w:tabs>
          <w:tab w:val="left" w:pos="567"/>
        </w:tabs>
        <w:spacing w:after="0" w:line="240" w:lineRule="auto"/>
        <w:ind w:left="0" w:firstLine="0"/>
        <w:jc w:val="both"/>
        <w:rPr>
          <w:sz w:val="24"/>
          <w:szCs w:val="24"/>
          <w:lang w:eastAsia="uk-UA"/>
        </w:rPr>
      </w:pPr>
      <w:r w:rsidRPr="00810A97">
        <w:rPr>
          <w:bCs/>
          <w:i/>
          <w:sz w:val="24"/>
          <w:szCs w:val="24"/>
          <w:lang w:eastAsia="uk-UA"/>
        </w:rPr>
        <w:t>Адаптаційний потенціал та стресостійкість</w:t>
      </w:r>
      <w:r w:rsidRPr="00810A97">
        <w:rPr>
          <w:sz w:val="24"/>
          <w:szCs w:val="24"/>
          <w:lang w:eastAsia="uk-UA"/>
        </w:rPr>
        <w:t xml:space="preserve"> – здатність підтримувати гомеостаз та ефективно функціонувати під навантаженням.</w:t>
      </w:r>
    </w:p>
    <w:p w:rsidR="00810A97" w:rsidRPr="00810A97" w:rsidRDefault="00810A97" w:rsidP="00E32BE0">
      <w:pPr>
        <w:numPr>
          <w:ilvl w:val="0"/>
          <w:numId w:val="3"/>
        </w:numPr>
        <w:tabs>
          <w:tab w:val="left" w:pos="567"/>
        </w:tabs>
        <w:spacing w:after="0" w:line="240" w:lineRule="auto"/>
        <w:ind w:left="0" w:firstLine="0"/>
        <w:jc w:val="both"/>
        <w:rPr>
          <w:sz w:val="24"/>
          <w:szCs w:val="24"/>
          <w:lang w:eastAsia="uk-UA"/>
        </w:rPr>
      </w:pPr>
      <w:r w:rsidRPr="00810A97">
        <w:rPr>
          <w:bCs/>
          <w:i/>
          <w:sz w:val="24"/>
          <w:szCs w:val="24"/>
          <w:lang w:eastAsia="uk-UA"/>
        </w:rPr>
        <w:t>Когнітивні здібності</w:t>
      </w:r>
      <w:r w:rsidRPr="00810A97">
        <w:rPr>
          <w:sz w:val="24"/>
          <w:szCs w:val="24"/>
          <w:lang w:eastAsia="uk-UA"/>
        </w:rPr>
        <w:t xml:space="preserve"> – швидкість обробки інформації, концентрація уваги, прийняття рішень, інтегрують фізичні та психічні складові.</w:t>
      </w:r>
    </w:p>
    <w:p w:rsidR="00810A97" w:rsidRPr="00810A97" w:rsidRDefault="00810A97" w:rsidP="00E32BE0">
      <w:pPr>
        <w:numPr>
          <w:ilvl w:val="0"/>
          <w:numId w:val="3"/>
        </w:numPr>
        <w:tabs>
          <w:tab w:val="left" w:pos="567"/>
        </w:tabs>
        <w:spacing w:after="0" w:line="240" w:lineRule="auto"/>
        <w:ind w:left="0" w:firstLine="0"/>
        <w:jc w:val="both"/>
        <w:rPr>
          <w:sz w:val="24"/>
          <w:szCs w:val="24"/>
          <w:lang w:eastAsia="uk-UA"/>
        </w:rPr>
      </w:pPr>
      <w:r w:rsidRPr="00810A97">
        <w:rPr>
          <w:bCs/>
          <w:i/>
          <w:sz w:val="24"/>
          <w:szCs w:val="24"/>
          <w:lang w:eastAsia="uk-UA"/>
        </w:rPr>
        <w:t>Фізична підготовленість</w:t>
      </w:r>
      <w:r w:rsidRPr="00810A97">
        <w:rPr>
          <w:sz w:val="24"/>
          <w:szCs w:val="24"/>
          <w:lang w:eastAsia="uk-UA"/>
        </w:rPr>
        <w:t xml:space="preserve"> – розвиток основних рухових якостей, інтегрально відображає функціональні та морфологічні можливості організму.</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uk-UA"/>
        </w:rPr>
        <w:t>Сукупність компонентів забезпечує комплексне охоплення морфологічного, функціонального, психофізіологічного та діяльнісного рівнів фізичного стану офіцерів і є науково обґрунтованою та практично значущою для моделювання ФП.</w:t>
      </w:r>
    </w:p>
    <w:p w:rsidR="00810A97" w:rsidRPr="00810A97" w:rsidRDefault="00810A97" w:rsidP="00810A97">
      <w:pPr>
        <w:tabs>
          <w:tab w:val="left" w:pos="1276"/>
        </w:tabs>
        <w:spacing w:after="0" w:line="240" w:lineRule="auto"/>
        <w:ind w:firstLine="709"/>
        <w:jc w:val="both"/>
        <w:rPr>
          <w:sz w:val="24"/>
          <w:szCs w:val="24"/>
          <w:lang w:bidi="en-US"/>
        </w:rPr>
      </w:pPr>
      <w:r w:rsidRPr="00810A97">
        <w:rPr>
          <w:sz w:val="24"/>
          <w:szCs w:val="24"/>
          <w:lang w:bidi="en-US"/>
        </w:rPr>
        <w:t>Система контролю ФП офіцерів оперативного рівня включає три етапи: попередній, поточний і підсумковий. Попередній контроль визначає вихідний рівень фізичної підготовленості та функціональних можливостей провідних систем організму, що дозволяє індивідуалізувати програму тренувань і планувати навантаження; поточний контроль здійснюється під час навчально-тренувальних занять, оцінює прогрес, виявляє відхилення та коригує методику підготовки; підсумковий контроль оцінює ефект моделі ФП, досягнення цільових показників фізичних, функціональних і психологічних якостей та ефективність використаних форм, засобів і методів. Механізм зворотного зв’язку забезпечує оперативну корекцію змісту, форм і методів тренувань з урахуванням індивідуальних особливостей офіцерів, рівня підготовленості та психологічного стану, підвищуючи ефективність і запобігаючи перевантаженню [23,24,25]. Критерії ефективності моделі включають комплексну оцінку фізичного стану, функціональних можливостей провідних систем організму, професійно значущих фізичних і когнітивних якостей, рівня стресостійкості та адаптаційного потенціалу. Застосування системи контролю та механізму зворотного зв’язку забезпечує стабільність і ефективність тренувального процесу, оптимізує фізіологічну та психофізіологічну адаптацію і формує готовність офіцерів до виконання службово-бойових завдань у складних умовах.</w:t>
      </w:r>
    </w:p>
    <w:p w:rsidR="00810A97" w:rsidRPr="00810A97" w:rsidRDefault="00810A97" w:rsidP="00810A97">
      <w:pPr>
        <w:tabs>
          <w:tab w:val="left" w:pos="1276"/>
        </w:tabs>
        <w:spacing w:after="0" w:line="240" w:lineRule="auto"/>
        <w:ind w:firstLine="709"/>
        <w:jc w:val="both"/>
        <w:rPr>
          <w:sz w:val="24"/>
          <w:szCs w:val="24"/>
          <w:lang w:eastAsia="ru-RU"/>
        </w:rPr>
      </w:pPr>
      <w:r w:rsidRPr="00810A97">
        <w:rPr>
          <w:sz w:val="24"/>
          <w:szCs w:val="24"/>
          <w:lang w:eastAsia="ru-RU"/>
        </w:rPr>
        <w:t>Критеріями ефективності моделі є комплексна оцінка фізичного стану, функціональних можливостей провідних систем організму, розвитку професійно значущих фізичних і когнітивних якостей, рівня стресостійкості та адаптаційного потенціалу. Таким чином, запропонована модель є універсальною, системною та науково обґрунтованою основою підготовки офіцерів оперативного рівня, яка забезпечує розвиток фізичних, функціональних і професійно значущих якостей, необхідних для ефективного виконання професійних завдань у сучасних умовах. Впровадження розробленої моделі сприяє підвищенню ефективності та безпеки навчально-тренувального процесу, а також формуванню високого рівня фізичної й професійної готовності, що забезпечує результативну діяльність в умовах підвищеної складності та відповідальності.</w:t>
      </w:r>
    </w:p>
    <w:p w:rsidR="00810A97" w:rsidRPr="00810A97" w:rsidRDefault="00810A97" w:rsidP="00810A97">
      <w:pPr>
        <w:tabs>
          <w:tab w:val="left" w:pos="1276"/>
        </w:tabs>
        <w:spacing w:after="0" w:line="240" w:lineRule="auto"/>
        <w:ind w:firstLine="709"/>
        <w:jc w:val="both"/>
        <w:rPr>
          <w:sz w:val="24"/>
          <w:szCs w:val="24"/>
          <w:lang w:eastAsia="uk-UA"/>
        </w:rPr>
      </w:pPr>
      <w:r w:rsidRPr="00810A97">
        <w:rPr>
          <w:b/>
          <w:bCs/>
          <w:sz w:val="24"/>
          <w:szCs w:val="24"/>
          <w:lang w:eastAsia="uk-UA"/>
        </w:rPr>
        <w:t xml:space="preserve">Дискусія. </w:t>
      </w:r>
      <w:r w:rsidRPr="00810A97">
        <w:rPr>
          <w:sz w:val="24"/>
          <w:szCs w:val="24"/>
          <w:lang w:eastAsia="uk-UA"/>
        </w:rPr>
        <w:t xml:space="preserve">Результати дослідження підтверджують доцільність комплексного підходу до ФП офіцерів оперативного рівня, який інтегрує розвиток фізичних, функціональних і когнітивних якостей та враховує морфофункціональні та вікові </w:t>
      </w:r>
      <w:r w:rsidRPr="00810A97">
        <w:rPr>
          <w:sz w:val="24"/>
          <w:szCs w:val="24"/>
          <w:lang w:eastAsia="uk-UA"/>
        </w:rPr>
        <w:lastRenderedPageBreak/>
        <w:t>особливості офіцерів. Включення когнітивного компонента підвищує швидкість прийняття рішень, концентрацію уваги та здатність діяти у стресових умовах, а розвиток кардіореспіраторних можливостей і адаптаційного потенціалу забезпечує професійну надійність і працездатність. Формування стресостійкості слугує інтегральним показником готовності до професійно-службових завдань. Порівняння з традиційними методами демонструє переваги моделі щодо системності, комплексності, прикладної спрямованості та індивідуалізації. Застосування багаторівневої системи контролю та зворотного зв’язку дозволяє своєчасно коригувати зміст і методи підготовки, підвищуючи ефективність тренувального процесу. Дані свідчать про необхідність уточнення нормативів і критеріїв оцінювання для різних категорій офіцерів, а оновлення програм із врахуванням сучасних військових викликів підвищує ефективність ФП та знижує ризик перевантажень. Перспективи досліджень – розширення емпіричної бази, оцінка довготривалого впливу моделі та її впровадження у систему військової освіти.</w:t>
      </w:r>
    </w:p>
    <w:p w:rsidR="00810A97" w:rsidRPr="00810A97" w:rsidRDefault="00810A97" w:rsidP="00810A97">
      <w:pPr>
        <w:tabs>
          <w:tab w:val="left" w:pos="1276"/>
        </w:tabs>
        <w:spacing w:after="0" w:line="240" w:lineRule="auto"/>
        <w:ind w:firstLine="709"/>
        <w:jc w:val="both"/>
        <w:rPr>
          <w:sz w:val="24"/>
          <w:szCs w:val="24"/>
          <w:lang w:bidi="en-US"/>
        </w:rPr>
      </w:pPr>
      <w:r w:rsidRPr="00810A97">
        <w:rPr>
          <w:b/>
          <w:bCs/>
          <w:sz w:val="24"/>
          <w:szCs w:val="24"/>
          <w:lang w:eastAsia="uk-UA" w:bidi="en-US"/>
        </w:rPr>
        <w:t xml:space="preserve">Висновки. </w:t>
      </w:r>
      <w:r w:rsidRPr="00810A97">
        <w:rPr>
          <w:sz w:val="24"/>
          <w:szCs w:val="24"/>
          <w:lang w:bidi="en-US"/>
        </w:rPr>
        <w:t>Модель ФП офіцерів оперативного рівня ЗСУ є науково обґрунтованою та комплексною системою, спрямованою на підвищення ефективності, безпечності та результативності підготовки в умовах сучасної службово-бойової діяльності. Реалізація моделі забезпечує цілісний розвиток морфофункціональних і когнітивних показників, підвищує інтегральний рівень фізичної готовності, сприяє зростанню ефективності виконання службово-бойових завдань та готовності офіцерів до дій у складних умовах. Впровадження комплексних засобів, педагогічно обґрунтованих методів та різних форм занять дозволяє оптимізувати тренувальний процес, підвищити безпеку та адаптованість навантажень, сформувати стійкі механізми самоконтролю і саморегуляції.</w:t>
      </w:r>
    </w:p>
    <w:p w:rsidR="00810A97" w:rsidRPr="00810A97" w:rsidRDefault="00810A97" w:rsidP="00810A97">
      <w:pPr>
        <w:tabs>
          <w:tab w:val="left" w:pos="1276"/>
        </w:tabs>
        <w:spacing w:after="0" w:line="240" w:lineRule="auto"/>
        <w:jc w:val="center"/>
        <w:rPr>
          <w:b/>
          <w:sz w:val="24"/>
          <w:szCs w:val="24"/>
          <w:shd w:val="clear" w:color="auto" w:fill="FFFFFF"/>
          <w:lang w:bidi="en-US"/>
        </w:rPr>
      </w:pPr>
    </w:p>
    <w:p w:rsidR="00810A97" w:rsidRPr="00810A97" w:rsidRDefault="00810A97" w:rsidP="00810A97">
      <w:pPr>
        <w:tabs>
          <w:tab w:val="left" w:pos="1276"/>
        </w:tabs>
        <w:spacing w:after="0" w:line="240" w:lineRule="auto"/>
        <w:jc w:val="center"/>
        <w:rPr>
          <w:b/>
          <w:bCs/>
          <w:sz w:val="20"/>
          <w:szCs w:val="20"/>
          <w:lang w:bidi="en-US"/>
        </w:rPr>
      </w:pPr>
      <w:r w:rsidRPr="00810A97">
        <w:rPr>
          <w:b/>
          <w:sz w:val="20"/>
          <w:szCs w:val="20"/>
          <w:shd w:val="clear" w:color="auto" w:fill="FFFFFF"/>
          <w:lang w:bidi="en-US"/>
        </w:rPr>
        <w:t>Список використаних джерел</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eastAsia="uk-UA"/>
        </w:rPr>
        <w:t xml:space="preserve">Петрачков ОВ., Ярмак ОМ. Послідовність прийняття управлінських рішень щодо організації фізичної підготовки офіцерів. </w:t>
      </w:r>
      <w:r w:rsidRPr="00810A97">
        <w:rPr>
          <w:rFonts w:eastAsia="Calibri"/>
          <w:sz w:val="20"/>
          <w:szCs w:val="20"/>
        </w:rPr>
        <w:t>Науковий часопис НПУ імені М.П. Драгоманова</w:t>
      </w:r>
      <w:r w:rsidRPr="00810A97">
        <w:rPr>
          <w:rFonts w:eastAsia="Calibri"/>
          <w:sz w:val="20"/>
          <w:szCs w:val="20"/>
          <w:lang w:eastAsia="uk-UA"/>
        </w:rPr>
        <w:t>. 2023;11(171):147–151. https://doi.org/</w:t>
      </w:r>
      <w:hyperlink r:id="rId10" w:tgtFrame="_new" w:history="1">
        <w:r w:rsidRPr="00810A97">
          <w:rPr>
            <w:rFonts w:eastAsia="Calibri"/>
            <w:color w:val="0000FF"/>
            <w:sz w:val="20"/>
            <w:szCs w:val="20"/>
            <w:u w:val="single"/>
            <w:lang w:eastAsia="uk-UA"/>
          </w:rPr>
          <w:t>10.31392/UDU-nc.series15.2023.11(171).30</w:t>
        </w:r>
      </w:hyperlink>
      <w:r w:rsidRPr="00810A97">
        <w:rPr>
          <w:rFonts w:ascii="Calibri" w:eastAsia="Calibri" w:hAnsi="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Петрачков ОВ. Вплив когнітивних характеристик та функціональних резервів організму на прийняття управлінських рішень офіцерами оперативного рівня.</w:t>
      </w:r>
      <w:r w:rsidRPr="00810A97">
        <w:rPr>
          <w:rFonts w:eastAsia="Calibri"/>
          <w:sz w:val="20"/>
          <w:szCs w:val="20"/>
          <w:shd w:val="clear" w:color="auto" w:fill="FFFFFF"/>
        </w:rPr>
        <w:t xml:space="preserve"> Волинський національний університет імені Лесі Українки. Луцьк. 2025;4(72):</w:t>
      </w:r>
      <w:r w:rsidRPr="00810A97">
        <w:rPr>
          <w:rFonts w:eastAsia="Calibri"/>
          <w:sz w:val="20"/>
          <w:szCs w:val="20"/>
        </w:rPr>
        <w:t xml:space="preserve">19–25. </w:t>
      </w:r>
      <w:hyperlink r:id="rId11" w:history="1">
        <w:r w:rsidRPr="00810A97">
          <w:rPr>
            <w:rFonts w:eastAsia="Calibri"/>
            <w:color w:val="0000FF"/>
            <w:sz w:val="20"/>
            <w:szCs w:val="20"/>
            <w:u w:val="single"/>
          </w:rPr>
          <w:t>https://doi.org/10.29038/2220-7481-2025-04-19-25</w:t>
        </w:r>
      </w:hyperlink>
      <w:r w:rsidRPr="00810A97">
        <w:rPr>
          <w:rFonts w:ascii="Calibri" w:eastAsia="Calibri" w:hAnsi="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Барков ВІ., Глазунов СІ., Жембровський СМ.</w:t>
      </w:r>
      <w:r w:rsidRPr="00810A97">
        <w:rPr>
          <w:rFonts w:eastAsia="Calibri"/>
          <w:bCs/>
          <w:sz w:val="20"/>
          <w:szCs w:val="20"/>
        </w:rPr>
        <w:t xml:space="preserve"> </w:t>
      </w:r>
      <w:r w:rsidRPr="00810A97">
        <w:rPr>
          <w:rFonts w:eastAsia="Calibri"/>
          <w:sz w:val="20"/>
          <w:szCs w:val="20"/>
        </w:rPr>
        <w:t>та ін.</w:t>
      </w:r>
      <w:r w:rsidRPr="00810A97">
        <w:rPr>
          <w:rFonts w:eastAsia="Calibri"/>
          <w:bCs/>
          <w:sz w:val="20"/>
          <w:szCs w:val="20"/>
        </w:rPr>
        <w:t xml:space="preserve"> Фізична підготовка у військах. Практичні рекомендації.</w:t>
      </w:r>
      <w:r w:rsidRPr="00810A97">
        <w:rPr>
          <w:rFonts w:eastAsia="Calibri"/>
          <w:sz w:val="20"/>
          <w:szCs w:val="20"/>
        </w:rPr>
        <w:t xml:space="preserve"> Посібник. Київ. НУОУ. 2017; 272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Жембровський СМ., Петрачков ОВ., Погребняк ДВ. та ін.</w:t>
      </w:r>
      <w:r w:rsidRPr="00810A97">
        <w:rPr>
          <w:rFonts w:eastAsia="Calibri"/>
          <w:bCs/>
          <w:sz w:val="20"/>
          <w:szCs w:val="20"/>
        </w:rPr>
        <w:t xml:space="preserve"> </w:t>
      </w:r>
      <w:r w:rsidRPr="00810A97">
        <w:rPr>
          <w:rFonts w:eastAsia="Calibri"/>
          <w:sz w:val="20"/>
          <w:szCs w:val="20"/>
        </w:rPr>
        <w:t>Управління фізичною підготовкою та спортивною діяльністю в системі Міністерства оборони України. Навчальний посібник. Київ. НУОУ. 2024; 188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Корнієнко ОД., Вербин НБ., Жембровський СМ. та ін.</w:t>
      </w:r>
      <w:r w:rsidRPr="00810A97">
        <w:rPr>
          <w:rFonts w:eastAsia="Calibri"/>
          <w:bCs/>
          <w:sz w:val="20"/>
          <w:szCs w:val="20"/>
        </w:rPr>
        <w:t xml:space="preserve"> </w:t>
      </w:r>
      <w:r w:rsidRPr="00810A97">
        <w:rPr>
          <w:rFonts w:eastAsia="Calibri"/>
          <w:sz w:val="20"/>
          <w:szCs w:val="20"/>
        </w:rPr>
        <w:t>Теорія та організація фізичної підготовки військ. Навчальний посібник. Київ. НУОУ. 2025; 276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shd w:val="clear" w:color="auto" w:fill="FFFFFF"/>
        </w:rPr>
        <w:t xml:space="preserve">Пилипей ЛП. Моделювання професійно-прикладної фізичної підготовки студентів ВНЗ. Слобожанський науково-спортивний вісник. </w:t>
      </w:r>
      <w:r w:rsidRPr="00810A97">
        <w:rPr>
          <w:rFonts w:eastAsia="Calibri"/>
          <w:sz w:val="20"/>
          <w:szCs w:val="20"/>
        </w:rPr>
        <w:t xml:space="preserve">Харків. </w:t>
      </w:r>
      <w:r w:rsidRPr="00810A97">
        <w:rPr>
          <w:rFonts w:eastAsia="Calibri"/>
          <w:sz w:val="20"/>
          <w:szCs w:val="20"/>
          <w:shd w:val="clear" w:color="auto" w:fill="FFFFFF"/>
        </w:rPr>
        <w:t>ХДАФК. 2009;4:26</w:t>
      </w:r>
      <w:r w:rsidR="00DA6CC0">
        <w:rPr>
          <w:rFonts w:eastAsia="Calibri"/>
          <w:sz w:val="20"/>
          <w:szCs w:val="20"/>
        </w:rPr>
        <w:t>-</w:t>
      </w:r>
      <w:r w:rsidRPr="00810A97">
        <w:rPr>
          <w:rFonts w:eastAsia="Calibri"/>
          <w:sz w:val="20"/>
          <w:szCs w:val="20"/>
          <w:shd w:val="clear" w:color="auto" w:fill="FFFFFF"/>
        </w:rPr>
        <w:t>30.</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Ролюк ОВ. Спеціальна фізична підготовка військовослужбовців-розвідників. Фізичне виховання, спорт і культура здоров’я у сучасному суспільстві. Львів. 2016;1(33):57</w:t>
      </w:r>
      <w:r w:rsidR="00DA6CC0">
        <w:rPr>
          <w:rFonts w:eastAsia="Calibri"/>
          <w:sz w:val="20"/>
          <w:szCs w:val="20"/>
        </w:rPr>
        <w:t>-</w:t>
      </w:r>
      <w:r w:rsidRPr="00810A97">
        <w:rPr>
          <w:rFonts w:eastAsia="Calibri"/>
          <w:sz w:val="20"/>
          <w:szCs w:val="20"/>
        </w:rPr>
        <w:t>63.</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Степанченко НІ., Бріскін ЮА., Матвійчук ТФ. Модель системи професійної підготовки фахівців фізичної культури і спорту в закладах вищої освіти. Вісник Чернігівського НПУ. 2018;154:74</w:t>
      </w:r>
      <w:r w:rsidR="00DA6CC0">
        <w:rPr>
          <w:rFonts w:eastAsia="Calibri"/>
          <w:sz w:val="20"/>
          <w:szCs w:val="20"/>
        </w:rPr>
        <w:t>-</w:t>
      </w:r>
      <w:r w:rsidRPr="00810A97">
        <w:rPr>
          <w:rFonts w:eastAsia="Calibri"/>
          <w:sz w:val="20"/>
          <w:szCs w:val="20"/>
        </w:rPr>
        <w:t>9.</w:t>
      </w:r>
      <w:bookmarkStart w:id="2" w:name="_Ref220517635"/>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bookmarkStart w:id="3" w:name="_Ref223175377"/>
      <w:bookmarkEnd w:id="2"/>
      <w:r w:rsidRPr="00810A97">
        <w:rPr>
          <w:rFonts w:eastAsia="Calibri"/>
          <w:sz w:val="20"/>
          <w:szCs w:val="20"/>
        </w:rPr>
        <w:t>Вербин НБ., Височіна НЛ., Костів СФ. та ін. Витривалість військовослужбовців та методика її розвитку. Навчально-методичний посібник. Київ. НУОУ. 2023; 120 с.</w:t>
      </w:r>
      <w:bookmarkEnd w:id="3"/>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Петрачков ОВ.</w:t>
      </w:r>
      <w:r w:rsidRPr="00810A97">
        <w:rPr>
          <w:rFonts w:eastAsia="Calibri"/>
          <w:bCs/>
          <w:sz w:val="20"/>
          <w:szCs w:val="20"/>
        </w:rPr>
        <w:t xml:space="preserve"> Передумови розробки моделі фізичної підготовки офіцерів оперативного рівня Збройних сил України</w:t>
      </w:r>
      <w:r w:rsidRPr="00810A97">
        <w:rPr>
          <w:rFonts w:eastAsia="Calibri"/>
          <w:sz w:val="20"/>
          <w:szCs w:val="20"/>
        </w:rPr>
        <w:t xml:space="preserve"> Науковий часопис УДУ імені М.П. Драгоманова. 2026;3(202):</w:t>
      </w:r>
      <w:r w:rsidRPr="00810A97">
        <w:rPr>
          <w:rFonts w:eastAsia="Calibri"/>
          <w:sz w:val="20"/>
          <w:szCs w:val="20"/>
          <w:lang w:eastAsia="uk-UA"/>
        </w:rPr>
        <w:t>106</w:t>
      </w:r>
      <w:r w:rsidR="00DA6CC0">
        <w:rPr>
          <w:rFonts w:eastAsia="Calibri"/>
          <w:sz w:val="20"/>
          <w:szCs w:val="20"/>
        </w:rPr>
        <w:t>-</w:t>
      </w:r>
      <w:r w:rsidRPr="00810A97">
        <w:rPr>
          <w:rFonts w:eastAsia="Calibri"/>
          <w:sz w:val="20"/>
          <w:szCs w:val="20"/>
          <w:lang w:eastAsia="uk-UA"/>
        </w:rPr>
        <w:t>11.</w:t>
      </w:r>
      <w:r w:rsidRPr="00810A97">
        <w:rPr>
          <w:rFonts w:eastAsia="Calibri"/>
          <w:sz w:val="20"/>
          <w:szCs w:val="20"/>
        </w:rPr>
        <w:t xml:space="preserve"> </w:t>
      </w:r>
      <w:hyperlink r:id="rId12" w:history="1">
        <w:r w:rsidR="00DA6CC0" w:rsidRPr="00646581">
          <w:rPr>
            <w:rStyle w:val="af3"/>
            <w:rFonts w:eastAsia="Calibri"/>
            <w:sz w:val="20"/>
            <w:szCs w:val="20"/>
          </w:rPr>
          <w:t>https://doi.org/10.31392/UDU-nc.series15.2026.03(202).22</w:t>
        </w:r>
      </w:hyperlink>
      <w:r w:rsidR="00DA6CC0">
        <w:rPr>
          <w:rFonts w:eastAsia="Calibri"/>
          <w:sz w:val="20"/>
          <w:szCs w:val="20"/>
        </w:rPr>
        <w:t xml:space="preserve"> </w:t>
      </w:r>
      <w:r w:rsidRPr="00810A97">
        <w:rPr>
          <w:rFonts w:eastAsia="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bookmarkStart w:id="4" w:name="_Ref224641508"/>
      <w:r w:rsidRPr="00810A97">
        <w:rPr>
          <w:rFonts w:eastAsia="Calibri"/>
          <w:sz w:val="20"/>
          <w:szCs w:val="20"/>
          <w:lang w:val="en-US"/>
        </w:rPr>
        <w:t xml:space="preserve">Oleniev D., Petrachkov O., Verbyn N., Shemchuk V. </w:t>
      </w:r>
      <w:r w:rsidRPr="00810A97">
        <w:rPr>
          <w:rFonts w:eastAsia="Calibri"/>
          <w:sz w:val="20"/>
          <w:szCs w:val="20"/>
          <w:shd w:val="clear" w:color="auto" w:fill="FFFFFF"/>
          <w:lang w:val="en-US"/>
        </w:rPr>
        <w:t>[</w:t>
      </w:r>
      <w:r w:rsidRPr="00810A97">
        <w:rPr>
          <w:rFonts w:eastAsia="Calibri"/>
          <w:sz w:val="20"/>
          <w:szCs w:val="20"/>
          <w:lang w:val="en-US" w:eastAsia="uk-UA"/>
        </w:rPr>
        <w:t>et al.</w:t>
      </w:r>
      <w:r w:rsidRPr="00810A97">
        <w:rPr>
          <w:rFonts w:eastAsia="Calibri"/>
          <w:sz w:val="20"/>
          <w:szCs w:val="20"/>
          <w:shd w:val="clear" w:color="auto" w:fill="FFFFFF"/>
          <w:lang w:val="en-US"/>
        </w:rPr>
        <w:t>].</w:t>
      </w:r>
      <w:r w:rsidRPr="00810A97">
        <w:rPr>
          <w:rFonts w:eastAsia="Calibri"/>
          <w:sz w:val="20"/>
          <w:szCs w:val="20"/>
          <w:lang w:val="en-US" w:eastAsia="uk-UA"/>
        </w:rPr>
        <w:t xml:space="preserve"> </w:t>
      </w:r>
      <w:r w:rsidRPr="00810A97">
        <w:rPr>
          <w:rFonts w:eastAsia="Calibri"/>
          <w:sz w:val="20"/>
          <w:szCs w:val="20"/>
          <w:lang w:val="en-US"/>
        </w:rPr>
        <w:t>Dynamics of the professional endurance indicators in officers of the operational level in a higher military educational institution during training. Journal of Intellectual Disability-Diagnosis and Treatment. 2021;9(5):495</w:t>
      </w:r>
      <w:r w:rsidR="00DA6CC0">
        <w:rPr>
          <w:rFonts w:eastAsia="Calibri"/>
          <w:sz w:val="20"/>
          <w:szCs w:val="20"/>
        </w:rPr>
        <w:t>-</w:t>
      </w:r>
      <w:r w:rsidRPr="00810A97">
        <w:rPr>
          <w:rFonts w:eastAsia="Calibri"/>
          <w:sz w:val="20"/>
          <w:szCs w:val="20"/>
          <w:lang w:val="en-US"/>
        </w:rPr>
        <w:t xml:space="preserve">503. </w:t>
      </w:r>
      <w:hyperlink r:id="rId13" w:history="1">
        <w:r w:rsidRPr="00810A97">
          <w:rPr>
            <w:rFonts w:eastAsia="Calibri"/>
            <w:sz w:val="20"/>
            <w:szCs w:val="20"/>
            <w:lang w:val="en-US"/>
          </w:rPr>
          <w:t>https://doi.org/10.6000/2292-2598.2021.09.05.8</w:t>
        </w:r>
      </w:hyperlink>
      <w:bookmarkEnd w:id="4"/>
      <w:r w:rsidRPr="00810A97">
        <w:rPr>
          <w:rFonts w:ascii="Calibri" w:eastAsia="Calibri" w:hAnsi="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bookmarkStart w:id="5" w:name="_Ref224377013"/>
      <w:r w:rsidRPr="00810A97">
        <w:rPr>
          <w:rFonts w:eastAsia="Calibri"/>
          <w:sz w:val="20"/>
          <w:szCs w:val="20"/>
        </w:rPr>
        <w:t>Вербин НБ., Жембровський СМ., Свистун ВІ. та ін. Витримка та виживання на полі бою. Підручник. Київ. НУОУ. 2023; 188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lastRenderedPageBreak/>
        <w:t>Фіногенов ЮС. та ін. Фізичне виховання, спеціальна фізична підготовка та спорт. Підручник. Київ. НУОУ. 2014; 468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shd w:val="clear" w:color="auto" w:fill="FFFFFF"/>
          <w:lang w:val="en-US"/>
        </w:rPr>
        <w:t>Yarmak O., Petrachkov O., Zhembrovskyi S., Andrieieva O. [</w:t>
      </w:r>
      <w:r w:rsidRPr="00810A97">
        <w:rPr>
          <w:rFonts w:eastAsia="Calibri"/>
          <w:sz w:val="20"/>
          <w:szCs w:val="20"/>
          <w:lang w:val="en-US" w:eastAsia="uk-UA"/>
        </w:rPr>
        <w:t>et al.</w:t>
      </w:r>
      <w:r w:rsidRPr="00810A97">
        <w:rPr>
          <w:rFonts w:eastAsia="Calibri"/>
          <w:sz w:val="20"/>
          <w:szCs w:val="20"/>
          <w:shd w:val="clear" w:color="auto" w:fill="FFFFFF"/>
          <w:lang w:val="en-US"/>
        </w:rPr>
        <w:t>].</w:t>
      </w:r>
      <w:r w:rsidRPr="00810A97">
        <w:rPr>
          <w:rFonts w:eastAsia="Calibri"/>
          <w:sz w:val="20"/>
          <w:szCs w:val="20"/>
          <w:lang w:val="en-US" w:eastAsia="uk-UA"/>
        </w:rPr>
        <w:t xml:space="preserve"> </w:t>
      </w:r>
      <w:r w:rsidRPr="00810A97">
        <w:rPr>
          <w:rFonts w:eastAsia="Calibri"/>
          <w:sz w:val="20"/>
          <w:szCs w:val="20"/>
          <w:shd w:val="clear" w:color="auto" w:fill="FFFFFF"/>
          <w:lang w:val="en-US"/>
        </w:rPr>
        <w:t>Sex-related differences in heart rate variability and static body stability in military personnel under stressful conditions. Journal of Physical Education and Sport. 2025;3(25):579</w:t>
      </w:r>
      <w:r w:rsidR="00DA6CC0">
        <w:rPr>
          <w:rFonts w:eastAsia="Calibri"/>
          <w:sz w:val="20"/>
          <w:szCs w:val="20"/>
          <w:shd w:val="clear" w:color="auto" w:fill="FFFFFF"/>
        </w:rPr>
        <w:t>-</w:t>
      </w:r>
      <w:r w:rsidRPr="00810A97">
        <w:rPr>
          <w:rFonts w:eastAsia="Calibri"/>
          <w:sz w:val="20"/>
          <w:szCs w:val="20"/>
          <w:shd w:val="clear" w:color="auto" w:fill="FFFFFF"/>
          <w:lang w:val="en-US"/>
        </w:rPr>
        <w:t xml:space="preserve">88. </w:t>
      </w:r>
      <w:hyperlink r:id="rId14" w:history="1">
        <w:r w:rsidRPr="00810A97">
          <w:rPr>
            <w:rFonts w:eastAsia="Calibri"/>
            <w:color w:val="0000FF"/>
            <w:sz w:val="20"/>
            <w:szCs w:val="20"/>
            <w:u w:val="single"/>
            <w:lang w:val="en-US"/>
          </w:rPr>
          <w:t>https://doi.org/</w:t>
        </w:r>
        <w:r w:rsidRPr="00810A97">
          <w:rPr>
            <w:rFonts w:eastAsia="Calibri"/>
            <w:color w:val="0000FF"/>
            <w:sz w:val="20"/>
            <w:szCs w:val="20"/>
            <w:u w:val="single"/>
            <w:shd w:val="clear" w:color="auto" w:fill="FFFFFF"/>
            <w:lang w:val="en-US"/>
          </w:rPr>
          <w:t>10.7752/jpes.2025.03063</w:t>
        </w:r>
      </w:hyperlink>
      <w:r w:rsidRPr="00810A97">
        <w:rPr>
          <w:rFonts w:ascii="Calibri" w:eastAsia="Calibri" w:hAnsi="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 xml:space="preserve">Petrachkov O., Kyslenko D., Mykhaylov V. </w:t>
      </w:r>
      <w:r w:rsidRPr="00810A97">
        <w:rPr>
          <w:rFonts w:eastAsia="Calibri"/>
          <w:sz w:val="20"/>
          <w:szCs w:val="20"/>
          <w:shd w:val="clear" w:color="auto" w:fill="FFFFFF"/>
          <w:lang w:val="en-US"/>
        </w:rPr>
        <w:t>[</w:t>
      </w:r>
      <w:r w:rsidRPr="00810A97">
        <w:rPr>
          <w:rFonts w:eastAsia="Calibri"/>
          <w:sz w:val="20"/>
          <w:szCs w:val="20"/>
          <w:lang w:val="en-US" w:eastAsia="uk-UA"/>
        </w:rPr>
        <w:t>et al.</w:t>
      </w:r>
      <w:r w:rsidRPr="00810A97">
        <w:rPr>
          <w:rFonts w:eastAsia="Calibri"/>
          <w:sz w:val="20"/>
          <w:szCs w:val="20"/>
          <w:shd w:val="clear" w:color="auto" w:fill="FFFFFF"/>
          <w:lang w:val="en-US"/>
        </w:rPr>
        <w:t>].</w:t>
      </w:r>
      <w:r w:rsidRPr="00810A97">
        <w:rPr>
          <w:rFonts w:eastAsia="Calibri"/>
          <w:sz w:val="20"/>
          <w:szCs w:val="20"/>
          <w:lang w:val="en-US" w:eastAsia="uk-UA"/>
        </w:rPr>
        <w:t xml:space="preserve"> </w:t>
      </w:r>
      <w:r w:rsidRPr="00810A97">
        <w:rPr>
          <w:rFonts w:eastAsia="Calibri"/>
          <w:sz w:val="20"/>
          <w:szCs w:val="20"/>
          <w:lang w:val="en-US"/>
        </w:rPr>
        <w:t>Motivation of military specialists to engage physical training during the legal regime of martial law.</w:t>
      </w:r>
      <w:r w:rsidRPr="00810A97">
        <w:rPr>
          <w:rFonts w:eastAsia="Calibri"/>
          <w:sz w:val="20"/>
          <w:szCs w:val="20"/>
          <w:lang w:val="en-US" w:eastAsia="uk-UA"/>
        </w:rPr>
        <w:t xml:space="preserve"> </w:t>
      </w:r>
      <w:r w:rsidRPr="00810A97">
        <w:rPr>
          <w:rFonts w:eastAsia="Calibri"/>
          <w:sz w:val="20"/>
          <w:szCs w:val="20"/>
          <w:lang w:val="en-US"/>
        </w:rPr>
        <w:t>Journal of Physical Education and Sport. 2024;24(6):1457</w:t>
      </w:r>
      <w:r w:rsidR="00DA6CC0">
        <w:rPr>
          <w:rFonts w:eastAsia="Calibri"/>
          <w:sz w:val="20"/>
          <w:szCs w:val="20"/>
          <w:lang w:eastAsia="uk-UA"/>
        </w:rPr>
        <w:t>-</w:t>
      </w:r>
      <w:r w:rsidRPr="00810A97">
        <w:rPr>
          <w:rFonts w:eastAsia="Calibri"/>
          <w:sz w:val="20"/>
          <w:szCs w:val="20"/>
          <w:lang w:val="en-US"/>
        </w:rPr>
        <w:t xml:space="preserve">64. </w:t>
      </w:r>
      <w:hyperlink r:id="rId15" w:history="1">
        <w:r w:rsidR="00DA6CC0" w:rsidRPr="00646581">
          <w:rPr>
            <w:rStyle w:val="af3"/>
            <w:rFonts w:eastAsia="Calibri"/>
            <w:sz w:val="20"/>
            <w:szCs w:val="20"/>
            <w:lang w:val="en-US" w:eastAsia="uk-UA"/>
          </w:rPr>
          <w:t>https://doi.org/</w:t>
        </w:r>
        <w:r w:rsidR="00DA6CC0" w:rsidRPr="00646581">
          <w:rPr>
            <w:rStyle w:val="af3"/>
            <w:rFonts w:eastAsia="Calibri"/>
            <w:sz w:val="20"/>
            <w:szCs w:val="20"/>
            <w:lang w:val="en-US"/>
          </w:rPr>
          <w:t>10.7752/jpes.2024.06165</w:t>
        </w:r>
      </w:hyperlink>
      <w:r w:rsidR="00DA6CC0">
        <w:rPr>
          <w:rFonts w:eastAsia="Calibri"/>
          <w:sz w:val="20"/>
          <w:szCs w:val="20"/>
        </w:rPr>
        <w:t xml:space="preserve"> </w:t>
      </w:r>
      <w:r w:rsidRPr="00810A97">
        <w:rPr>
          <w:rFonts w:eastAsia="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r w:rsidRPr="00810A97">
        <w:rPr>
          <w:sz w:val="20"/>
          <w:szCs w:val="20"/>
          <w:lang w:val="en-US" w:eastAsia="uk-UA"/>
        </w:rPr>
        <w:t xml:space="preserve">Petrachkov O., Yarmak O., Biloshytskyi V., Andrieieva O. </w:t>
      </w:r>
      <w:r w:rsidRPr="00810A97">
        <w:rPr>
          <w:rFonts w:eastAsia="Calibri"/>
          <w:sz w:val="20"/>
          <w:szCs w:val="20"/>
          <w:shd w:val="clear" w:color="auto" w:fill="FFFFFF"/>
          <w:lang w:val="en-US"/>
        </w:rPr>
        <w:t>[</w:t>
      </w:r>
      <w:r w:rsidRPr="00810A97">
        <w:rPr>
          <w:rFonts w:eastAsia="Calibri"/>
          <w:sz w:val="20"/>
          <w:szCs w:val="20"/>
          <w:lang w:val="en-US" w:eastAsia="uk-UA"/>
        </w:rPr>
        <w:t>et al.</w:t>
      </w:r>
      <w:r w:rsidRPr="00810A97">
        <w:rPr>
          <w:rFonts w:eastAsia="Calibri"/>
          <w:sz w:val="20"/>
          <w:szCs w:val="20"/>
          <w:shd w:val="clear" w:color="auto" w:fill="FFFFFF"/>
          <w:lang w:val="en-US"/>
        </w:rPr>
        <w:t>].</w:t>
      </w:r>
      <w:r w:rsidRPr="00810A97">
        <w:rPr>
          <w:rFonts w:eastAsia="Calibri"/>
          <w:sz w:val="20"/>
          <w:szCs w:val="20"/>
          <w:lang w:val="en-US" w:eastAsia="uk-UA"/>
        </w:rPr>
        <w:t xml:space="preserve"> The influence of morphofunctional condition on the physical fitness level of Ukrainian soldiers. Journal of Physical Education and Sport. 2022;22(9):2182</w:t>
      </w:r>
      <w:r w:rsidR="00DA6CC0">
        <w:rPr>
          <w:rFonts w:eastAsia="Calibri"/>
          <w:sz w:val="20"/>
          <w:szCs w:val="20"/>
          <w:lang w:eastAsia="uk-UA"/>
        </w:rPr>
        <w:t>-</w:t>
      </w:r>
      <w:r w:rsidRPr="00810A97">
        <w:rPr>
          <w:rFonts w:eastAsia="Calibri"/>
          <w:sz w:val="20"/>
          <w:szCs w:val="20"/>
          <w:lang w:val="en-US" w:eastAsia="uk-UA"/>
        </w:rPr>
        <w:t>89. https://doi.org/</w:t>
      </w:r>
      <w:hyperlink r:id="rId16" w:history="1">
        <w:r w:rsidRPr="00810A97">
          <w:rPr>
            <w:rFonts w:eastAsia="Calibri"/>
            <w:color w:val="0000FF"/>
            <w:sz w:val="20"/>
            <w:szCs w:val="20"/>
            <w:u w:val="single"/>
            <w:lang w:val="en-US" w:eastAsia="uk-UA"/>
          </w:rPr>
          <w:t>10.7752/jpes.2022.09278</w:t>
        </w:r>
      </w:hyperlink>
      <w:r w:rsidRPr="00810A97">
        <w:rPr>
          <w:rFonts w:ascii="Calibri" w:eastAsia="Calibri" w:hAnsi="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 xml:space="preserve">Юдін ВД., Кийко АС., Волкова ЮВ. </w:t>
      </w:r>
      <w:hyperlink r:id="rId17" w:history="1">
        <w:r w:rsidRPr="00810A97">
          <w:rPr>
            <w:rFonts w:eastAsia="Calibri"/>
            <w:color w:val="0000FF"/>
            <w:sz w:val="20"/>
            <w:szCs w:val="20"/>
            <w:u w:val="single"/>
            <w:shd w:val="clear" w:color="auto" w:fill="FFFFFF"/>
          </w:rPr>
          <w:t>Теорія і методика військового п</w:t>
        </w:r>
        <w:r w:rsidRPr="00810A97">
          <w:rPr>
            <w:rFonts w:eastAsia="Calibri"/>
            <w:color w:val="0000FF"/>
            <w:sz w:val="20"/>
            <w:szCs w:val="20"/>
            <w:u w:val="single"/>
            <w:shd w:val="clear" w:color="auto" w:fill="FFFFFF"/>
            <w:lang w:val="ru-RU"/>
          </w:rPr>
          <w:t>’</w:t>
        </w:r>
        <w:r w:rsidRPr="00810A97">
          <w:rPr>
            <w:rFonts w:eastAsia="Calibri"/>
            <w:color w:val="0000FF"/>
            <w:sz w:val="20"/>
            <w:szCs w:val="20"/>
            <w:u w:val="single"/>
            <w:shd w:val="clear" w:color="auto" w:fill="FFFFFF"/>
          </w:rPr>
          <w:t>ятиборства (подолання перешкод)</w:t>
        </w:r>
      </w:hyperlink>
      <w:r w:rsidRPr="00810A97">
        <w:rPr>
          <w:rFonts w:eastAsia="Calibri"/>
          <w:sz w:val="20"/>
          <w:szCs w:val="20"/>
        </w:rPr>
        <w:t>. Навчальний посібник. Київ. НУОУ. 2024; 112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Korobeynikov G., Korobeynikova L., Chernozubz A. Psychophysiological peculiarities of sexual dimorphism in athletes. Journal of Psychology Research. 2012;6:336</w:t>
      </w:r>
      <w:r w:rsidR="00DA6CC0">
        <w:rPr>
          <w:rFonts w:eastAsia="Calibri"/>
          <w:sz w:val="20"/>
          <w:szCs w:val="20"/>
          <w:shd w:val="clear" w:color="auto" w:fill="FFFFFF"/>
        </w:rPr>
        <w:t>-</w:t>
      </w:r>
      <w:r w:rsidRPr="00810A97">
        <w:rPr>
          <w:rFonts w:eastAsia="Calibri"/>
          <w:sz w:val="20"/>
          <w:szCs w:val="20"/>
          <w:lang w:val="en-US"/>
        </w:rPr>
        <w:t>43.</w:t>
      </w:r>
      <w:r w:rsidRPr="00810A97">
        <w:rPr>
          <w:rFonts w:eastAsia="Calibri"/>
          <w:sz w:val="20"/>
          <w:szCs w:val="20"/>
          <w:shd w:val="clear" w:color="auto" w:fill="FFFFFF"/>
          <w:lang w:val="en-US"/>
        </w:rPr>
        <w:t xml:space="preserve"> https://doi.org/</w:t>
      </w:r>
      <w:hyperlink r:id="rId18" w:tgtFrame="_blank" w:history="1">
        <w:r w:rsidRPr="00810A97">
          <w:rPr>
            <w:rFonts w:eastAsia="Calibri"/>
            <w:color w:val="0000FF"/>
            <w:sz w:val="20"/>
            <w:szCs w:val="20"/>
            <w:u w:val="single"/>
            <w:bdr w:val="none" w:sz="0" w:space="0" w:color="auto" w:frame="1"/>
            <w:shd w:val="clear" w:color="auto" w:fill="FFFFFF"/>
            <w:lang w:val="en-US"/>
          </w:rPr>
          <w:t>10.17265/2159-5542/2012.06.002</w:t>
        </w:r>
      </w:hyperlink>
      <w:r w:rsidRPr="00810A97">
        <w:rPr>
          <w:rFonts w:ascii="Calibri" w:eastAsia="Calibri" w:hAnsi="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 xml:space="preserve">Petrachkov O., Yarmak O., Chepurnyi V., Mykhaylov V. </w:t>
      </w:r>
      <w:r w:rsidRPr="00810A97">
        <w:rPr>
          <w:rFonts w:eastAsia="Calibri"/>
          <w:sz w:val="20"/>
          <w:szCs w:val="20"/>
          <w:shd w:val="clear" w:color="auto" w:fill="FFFFFF"/>
          <w:lang w:val="en-US"/>
        </w:rPr>
        <w:t>[</w:t>
      </w:r>
      <w:r w:rsidRPr="00810A97">
        <w:rPr>
          <w:rFonts w:eastAsia="Calibri"/>
          <w:sz w:val="20"/>
          <w:szCs w:val="20"/>
          <w:lang w:val="en-US" w:eastAsia="uk-UA"/>
        </w:rPr>
        <w:t>et al.</w:t>
      </w:r>
      <w:r w:rsidRPr="00810A97">
        <w:rPr>
          <w:rFonts w:eastAsia="Calibri"/>
          <w:sz w:val="20"/>
          <w:szCs w:val="20"/>
          <w:shd w:val="clear" w:color="auto" w:fill="FFFFFF"/>
          <w:lang w:val="en-US"/>
        </w:rPr>
        <w:t>].</w:t>
      </w:r>
      <w:r w:rsidRPr="00810A97">
        <w:rPr>
          <w:rFonts w:eastAsia="Calibri"/>
          <w:sz w:val="20"/>
          <w:szCs w:val="20"/>
          <w:lang w:val="en-US" w:eastAsia="uk-UA"/>
        </w:rPr>
        <w:t xml:space="preserve"> </w:t>
      </w:r>
      <w:r w:rsidRPr="00810A97">
        <w:rPr>
          <w:rFonts w:eastAsia="Calibri"/>
          <w:sz w:val="20"/>
          <w:szCs w:val="20"/>
          <w:lang w:val="en-US"/>
        </w:rPr>
        <w:t>The impact of static spatial stability on soldiers’ functional readiness. Journal of Physical Education and Sport. 2024;24(3):720</w:t>
      </w:r>
      <w:r w:rsidR="00DA6CC0">
        <w:rPr>
          <w:rFonts w:eastAsia="Calibri"/>
          <w:sz w:val="20"/>
          <w:szCs w:val="20"/>
        </w:rPr>
        <w:t>-</w:t>
      </w:r>
      <w:r w:rsidRPr="00810A97">
        <w:rPr>
          <w:rFonts w:eastAsia="Calibri"/>
          <w:sz w:val="20"/>
          <w:szCs w:val="20"/>
          <w:lang w:val="en-US"/>
        </w:rPr>
        <w:t xml:space="preserve">30. </w:t>
      </w:r>
      <w:hyperlink r:id="rId19" w:history="1">
        <w:r w:rsidR="00DA6CC0" w:rsidRPr="00646581">
          <w:rPr>
            <w:rStyle w:val="af3"/>
            <w:rFonts w:eastAsia="Calibri"/>
            <w:sz w:val="20"/>
            <w:szCs w:val="20"/>
            <w:lang w:val="en-US" w:eastAsia="uk-UA"/>
          </w:rPr>
          <w:t>https://doi.org/</w:t>
        </w:r>
        <w:r w:rsidR="00DA6CC0" w:rsidRPr="00646581">
          <w:rPr>
            <w:rStyle w:val="af3"/>
            <w:rFonts w:eastAsia="Calibri"/>
            <w:sz w:val="20"/>
            <w:szCs w:val="20"/>
            <w:lang w:val="en-US"/>
          </w:rPr>
          <w:t>10.7752/jpes.2024.03085</w:t>
        </w:r>
      </w:hyperlink>
      <w:r w:rsidR="00DA6CC0">
        <w:rPr>
          <w:rFonts w:eastAsia="Calibri"/>
          <w:sz w:val="20"/>
          <w:szCs w:val="20"/>
        </w:rPr>
        <w:t xml:space="preserve"> </w:t>
      </w:r>
      <w:r w:rsidRPr="00810A97">
        <w:rPr>
          <w:rFonts w:eastAsia="Calibri"/>
          <w:sz w:val="20"/>
          <w:szCs w:val="20"/>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Бєліков ІО., Галашевський ГО., Петрачков ОВ., Черенок ЄВ. Спортивні ігри та методика їх викладання (волейбол). Навчальний посібник. Київ. НУОУ. 2025; 104 с.</w:t>
      </w:r>
    </w:p>
    <w:bookmarkEnd w:id="5"/>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 xml:space="preserve">Петрачков ОВ., Жембровський СМ., Погребняк ДВ., Малахов ЄВ. </w:t>
      </w:r>
      <w:r w:rsidRPr="00810A97">
        <w:rPr>
          <w:rFonts w:eastAsia="Calibri"/>
          <w:bCs/>
          <w:sz w:val="20"/>
          <w:szCs w:val="20"/>
        </w:rPr>
        <w:t xml:space="preserve">Теорія та методика викладання спортивних ігор (баскетбол). </w:t>
      </w:r>
      <w:r w:rsidRPr="00810A97">
        <w:rPr>
          <w:rFonts w:eastAsia="Calibri"/>
          <w:sz w:val="20"/>
          <w:szCs w:val="20"/>
        </w:rPr>
        <w:t>Навчально-методичний посібник. Київ. НУОУ. 2024; 182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Погребняк ДВ., Петрачков ОВ., Білошицький ВВ. та ін. Теорія та методика викладання спортивних ігор (футбол). Навчально-методичний посібник. Київ. НУОУ. 2022; 116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Височіна НЛ., Жембровський СМ., Кувшинов ОВ.</w:t>
      </w:r>
      <w:r w:rsidRPr="00810A97">
        <w:rPr>
          <w:rFonts w:eastAsia="Calibri"/>
          <w:bCs/>
          <w:sz w:val="20"/>
          <w:szCs w:val="20"/>
        </w:rPr>
        <w:t xml:space="preserve"> </w:t>
      </w:r>
      <w:r w:rsidRPr="00810A97">
        <w:rPr>
          <w:rFonts w:eastAsia="Calibri"/>
          <w:sz w:val="20"/>
          <w:szCs w:val="20"/>
        </w:rPr>
        <w:t>та ін.</w:t>
      </w:r>
      <w:r w:rsidRPr="00810A97">
        <w:rPr>
          <w:rFonts w:eastAsia="Calibri"/>
          <w:bCs/>
          <w:sz w:val="20"/>
          <w:szCs w:val="20"/>
        </w:rPr>
        <w:t xml:space="preserve"> Психологічне забезпечення військовослужбовців у системі фізичного виховання і спорту.</w:t>
      </w:r>
      <w:r w:rsidRPr="00810A97">
        <w:rPr>
          <w:rFonts w:eastAsia="Calibri"/>
          <w:sz w:val="20"/>
          <w:szCs w:val="20"/>
        </w:rPr>
        <w:t xml:space="preserve"> Підручник. Київ. НУОУ. 2023; 100 с.</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Петрачков ОВ., Ярмак ОМ. Особливості фізичної підготовленості офіцерів оперативного рівня Збройних сил України. Теорія і методика фізичного виховання і спорту. 2023;3:49</w:t>
      </w:r>
      <w:r w:rsidR="00DA6CC0">
        <w:rPr>
          <w:rFonts w:eastAsia="Calibri"/>
          <w:sz w:val="20"/>
          <w:szCs w:val="20"/>
        </w:rPr>
        <w:t>-</w:t>
      </w:r>
      <w:r w:rsidRPr="00810A97">
        <w:rPr>
          <w:rFonts w:eastAsia="Calibri"/>
          <w:sz w:val="20"/>
          <w:szCs w:val="20"/>
        </w:rPr>
        <w:t>55.</w:t>
      </w:r>
      <w:r w:rsidRPr="00810A97">
        <w:rPr>
          <w:rFonts w:eastAsia="Calibri"/>
          <w:sz w:val="20"/>
          <w:szCs w:val="20"/>
          <w:shd w:val="clear" w:color="auto" w:fill="FFFFFF"/>
        </w:rPr>
        <w:t xml:space="preserve"> </w:t>
      </w:r>
      <w:hyperlink r:id="rId20" w:history="1">
        <w:r w:rsidR="00DA6CC0" w:rsidRPr="00646581">
          <w:rPr>
            <w:rStyle w:val="af3"/>
            <w:rFonts w:eastAsia="Calibri"/>
            <w:sz w:val="20"/>
            <w:szCs w:val="20"/>
            <w:shd w:val="clear" w:color="auto" w:fill="FFFFFF"/>
          </w:rPr>
          <w:t>https://doi.org/10.32652/tmfvs.2023.3.49–55</w:t>
        </w:r>
      </w:hyperlink>
      <w:r w:rsidR="00DA6CC0">
        <w:rPr>
          <w:rFonts w:eastAsia="Calibri"/>
          <w:sz w:val="20"/>
          <w:szCs w:val="20"/>
          <w:shd w:val="clear" w:color="auto" w:fill="FFFFFF"/>
        </w:rPr>
        <w:t xml:space="preserve"> </w:t>
      </w:r>
      <w:r w:rsidRPr="00810A97">
        <w:rPr>
          <w:rFonts w:eastAsia="Calibri"/>
          <w:sz w:val="20"/>
          <w:szCs w:val="20"/>
          <w:shd w:val="clear" w:color="auto" w:fill="FFFFFF"/>
        </w:rPr>
        <w:t>.</w:t>
      </w:r>
    </w:p>
    <w:p w:rsidR="00810A97" w:rsidRPr="00810A97" w:rsidRDefault="00810A97" w:rsidP="00810A97">
      <w:pPr>
        <w:numPr>
          <w:ilvl w:val="0"/>
          <w:numId w:val="1"/>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 xml:space="preserve">Barkov V., Verbin N., Zhembrovsky S. </w:t>
      </w:r>
      <w:r w:rsidRPr="00810A97">
        <w:rPr>
          <w:rFonts w:eastAsia="Calibri"/>
          <w:sz w:val="20"/>
          <w:szCs w:val="20"/>
          <w:shd w:val="clear" w:color="auto" w:fill="FFFFFF"/>
          <w:lang w:val="en-US"/>
        </w:rPr>
        <w:t>[</w:t>
      </w:r>
      <w:r w:rsidRPr="00810A97">
        <w:rPr>
          <w:rFonts w:eastAsia="Calibri"/>
          <w:sz w:val="20"/>
          <w:szCs w:val="20"/>
          <w:lang w:val="en-US" w:eastAsia="uk-UA"/>
        </w:rPr>
        <w:t>et al.</w:t>
      </w:r>
      <w:r w:rsidRPr="00810A97">
        <w:rPr>
          <w:rFonts w:eastAsia="Calibri"/>
          <w:sz w:val="20"/>
          <w:szCs w:val="20"/>
          <w:shd w:val="clear" w:color="auto" w:fill="FFFFFF"/>
          <w:lang w:val="en-US"/>
        </w:rPr>
        <w:t>].</w:t>
      </w:r>
      <w:r w:rsidRPr="00810A97">
        <w:rPr>
          <w:rFonts w:eastAsia="Calibri"/>
          <w:sz w:val="20"/>
          <w:szCs w:val="20"/>
          <w:lang w:val="en-US" w:eastAsia="uk-UA"/>
        </w:rPr>
        <w:t xml:space="preserve"> </w:t>
      </w:r>
      <w:r w:rsidRPr="00810A97">
        <w:rPr>
          <w:rFonts w:eastAsia="Calibri"/>
          <w:sz w:val="20"/>
          <w:szCs w:val="20"/>
          <w:lang w:val="en-US"/>
        </w:rPr>
        <w:t>Provision of Physical Training of Servicemen: a tutor’s manual.</w:t>
      </w:r>
      <w:r w:rsidRPr="00810A97">
        <w:rPr>
          <w:rFonts w:eastAsia="Calibri"/>
          <w:sz w:val="20"/>
          <w:szCs w:val="20"/>
          <w:lang w:val="en-US" w:eastAsia="uk-UA"/>
        </w:rPr>
        <w:t xml:space="preserve"> </w:t>
      </w:r>
      <w:r w:rsidRPr="00810A97">
        <w:rPr>
          <w:rFonts w:eastAsia="Calibri"/>
          <w:sz w:val="20"/>
          <w:szCs w:val="20"/>
          <w:lang w:val="en-US"/>
        </w:rPr>
        <w:t>Kiev. NUOU. 2016; 88 p.</w:t>
      </w:r>
    </w:p>
    <w:p w:rsidR="00810A97" w:rsidRPr="00810A97" w:rsidRDefault="00810A97" w:rsidP="00810A97">
      <w:pPr>
        <w:tabs>
          <w:tab w:val="left" w:pos="567"/>
          <w:tab w:val="left" w:pos="1134"/>
        </w:tabs>
        <w:spacing w:after="0" w:line="240" w:lineRule="auto"/>
        <w:jc w:val="center"/>
        <w:rPr>
          <w:b/>
          <w:bCs/>
          <w:sz w:val="20"/>
          <w:szCs w:val="20"/>
          <w:shd w:val="clear" w:color="auto" w:fill="FFFFFF"/>
          <w:lang w:val="en-US" w:bidi="en-US"/>
        </w:rPr>
      </w:pPr>
      <w:r w:rsidRPr="00810A97">
        <w:rPr>
          <w:b/>
          <w:bCs/>
          <w:sz w:val="20"/>
          <w:szCs w:val="20"/>
          <w:shd w:val="clear" w:color="auto" w:fill="FFFFFF"/>
          <w:lang w:val="en-US" w:bidi="en-US"/>
        </w:rPr>
        <w:t>References</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 xml:space="preserve">Petrachkov O, Yarmak O. </w:t>
      </w:r>
      <w:r w:rsidRPr="00810A97">
        <w:rPr>
          <w:rFonts w:eastAsia="Calibri"/>
          <w:sz w:val="20"/>
          <w:szCs w:val="20"/>
          <w:shd w:val="clear" w:color="auto" w:fill="FFFFFF"/>
        </w:rPr>
        <w:t xml:space="preserve">The Sequence of Administrative Decisions Due the Organisation of Physical Training Process of Commissioned Officers. </w:t>
      </w:r>
      <w:r w:rsidRPr="00810A97">
        <w:rPr>
          <w:rFonts w:eastAsia="Calibri"/>
          <w:sz w:val="20"/>
          <w:szCs w:val="20"/>
          <w:lang w:val="en-US"/>
        </w:rPr>
        <w:t>Naukovyi chasopys NPU imeni M.P. Drahomanova</w:t>
      </w:r>
      <w:r w:rsidRPr="00810A97">
        <w:rPr>
          <w:rFonts w:eastAsia="Calibri"/>
          <w:iCs/>
          <w:sz w:val="20"/>
          <w:szCs w:val="20"/>
          <w:lang w:val="en-US" w:eastAsia="uk-UA"/>
        </w:rPr>
        <w:t>.</w:t>
      </w:r>
      <w:r w:rsidRPr="00810A97">
        <w:rPr>
          <w:rFonts w:eastAsia="Calibri"/>
          <w:iCs/>
          <w:sz w:val="20"/>
          <w:szCs w:val="20"/>
          <w:lang w:eastAsia="uk-UA"/>
        </w:rPr>
        <w:t xml:space="preserve"> </w:t>
      </w:r>
      <w:r w:rsidRPr="00810A97">
        <w:rPr>
          <w:rFonts w:eastAsia="Calibri"/>
          <w:iCs/>
          <w:sz w:val="20"/>
          <w:szCs w:val="20"/>
          <w:lang w:val="en-US" w:eastAsia="uk-UA"/>
        </w:rPr>
        <w:t>Seria 15.</w:t>
      </w:r>
      <w:r w:rsidRPr="00810A97">
        <w:rPr>
          <w:rFonts w:eastAsia="Calibri"/>
          <w:sz w:val="20"/>
          <w:szCs w:val="20"/>
          <w:lang w:eastAsia="uk-UA"/>
        </w:rPr>
        <w:t xml:space="preserve"> 2023;11(171):147-51.</w:t>
      </w:r>
      <w:r w:rsidRPr="00810A97">
        <w:rPr>
          <w:rFonts w:eastAsia="Calibri"/>
          <w:sz w:val="20"/>
          <w:szCs w:val="20"/>
          <w:lang w:val="en-US" w:eastAsia="uk-UA"/>
        </w:rPr>
        <w:t xml:space="preserve"> URL: </w:t>
      </w:r>
      <w:r w:rsidRPr="00810A97">
        <w:rPr>
          <w:rFonts w:eastAsia="Calibri"/>
          <w:sz w:val="20"/>
          <w:szCs w:val="20"/>
          <w:lang w:eastAsia="uk-UA"/>
        </w:rPr>
        <w:t>https://doi.org/</w:t>
      </w:r>
      <w:hyperlink r:id="rId21" w:tgtFrame="_new" w:history="1">
        <w:r w:rsidRPr="00810A97">
          <w:rPr>
            <w:rFonts w:eastAsia="Calibri"/>
            <w:color w:val="0000FF"/>
            <w:sz w:val="20"/>
            <w:szCs w:val="20"/>
            <w:u w:val="single"/>
            <w:lang w:eastAsia="uk-UA"/>
          </w:rPr>
          <w:t>10.31392/UDU-nc.series15.2023.11(171).30</w:t>
        </w:r>
      </w:hyperlink>
      <w:r w:rsidRPr="00810A97">
        <w:rPr>
          <w:rFonts w:eastAsia="Calibri"/>
          <w:sz w:val="20"/>
          <w:szCs w:val="20"/>
        </w:rPr>
        <w:t xml:space="preserve"> </w:t>
      </w:r>
      <w:r w:rsidRPr="00810A97">
        <w:rPr>
          <w:rFonts w:eastAsia="Calibri"/>
          <w:sz w:val="20"/>
          <w:szCs w:val="20"/>
          <w:shd w:val="clear" w:color="auto" w:fill="FFFFFF"/>
          <w:lang w:val="en-US"/>
        </w:rPr>
        <w:t>(in Ukrainian)</w:t>
      </w:r>
      <w:r w:rsidRPr="00810A97">
        <w:rPr>
          <w:rFonts w:eastAsia="Calibri"/>
          <w:sz w:val="20"/>
          <w:szCs w:val="20"/>
          <w:lang w:eastAsia="uk-UA"/>
        </w:rPr>
        <w:t>.</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t>Petrachkov O.</w:t>
      </w:r>
      <w:r w:rsidRPr="00810A97">
        <w:rPr>
          <w:rFonts w:eastAsia="Calibri"/>
          <w:sz w:val="20"/>
          <w:szCs w:val="20"/>
        </w:rPr>
        <w:t xml:space="preserve"> The influence of Cognitive Characteristics and Functional Reserves of the Organism on Management Decision-Making by Operational Level Officers.</w:t>
      </w:r>
      <w:r w:rsidRPr="00810A97">
        <w:rPr>
          <w:rFonts w:eastAsia="Calibri"/>
          <w:sz w:val="20"/>
          <w:szCs w:val="20"/>
          <w:shd w:val="clear" w:color="auto" w:fill="FFFFFF"/>
        </w:rPr>
        <w:t xml:space="preserve"> </w:t>
      </w:r>
      <w:r w:rsidRPr="00810A97">
        <w:rPr>
          <w:rFonts w:eastAsia="Calibri"/>
          <w:sz w:val="20"/>
          <w:szCs w:val="20"/>
          <w:lang w:val="en-US"/>
        </w:rPr>
        <w:t>Volynskyi natsionalnyi universytet imeni Lesi Ukrainky. 2025;</w:t>
      </w:r>
      <w:r w:rsidRPr="00810A97">
        <w:rPr>
          <w:rFonts w:eastAsia="Calibri"/>
          <w:sz w:val="20"/>
          <w:szCs w:val="20"/>
          <w:shd w:val="clear" w:color="auto" w:fill="FFFFFF"/>
          <w:lang w:val="en-US"/>
        </w:rPr>
        <w:t>4(72):</w:t>
      </w:r>
      <w:r w:rsidRPr="00810A97">
        <w:rPr>
          <w:rFonts w:eastAsia="Calibri"/>
          <w:sz w:val="20"/>
          <w:szCs w:val="20"/>
          <w:lang w:val="en-US"/>
        </w:rPr>
        <w:t>19</w:t>
      </w:r>
      <w:r w:rsidRPr="00810A97">
        <w:rPr>
          <w:rFonts w:eastAsia="Calibri"/>
          <w:sz w:val="20"/>
          <w:szCs w:val="20"/>
        </w:rPr>
        <w:t>-</w:t>
      </w:r>
      <w:r w:rsidRPr="00810A97">
        <w:rPr>
          <w:rFonts w:eastAsia="Calibri"/>
          <w:sz w:val="20"/>
          <w:szCs w:val="20"/>
          <w:lang w:val="en-US"/>
        </w:rPr>
        <w:t>25.</w:t>
      </w:r>
      <w:r w:rsidRPr="00810A97">
        <w:rPr>
          <w:rFonts w:eastAsia="Calibri"/>
          <w:sz w:val="20"/>
          <w:szCs w:val="20"/>
        </w:rPr>
        <w:t xml:space="preserve"> </w:t>
      </w:r>
      <w:r w:rsidRPr="00810A97">
        <w:rPr>
          <w:rFonts w:eastAsia="Calibri"/>
          <w:sz w:val="20"/>
          <w:szCs w:val="20"/>
          <w:lang w:val="en-US"/>
        </w:rPr>
        <w:t xml:space="preserve">URL: </w:t>
      </w:r>
      <w:hyperlink r:id="rId22" w:history="1">
        <w:r w:rsidRPr="00810A97">
          <w:rPr>
            <w:rFonts w:eastAsia="Calibri"/>
            <w:color w:val="0000FF"/>
            <w:sz w:val="20"/>
            <w:szCs w:val="20"/>
            <w:u w:val="single"/>
            <w:lang w:val="en-US"/>
          </w:rPr>
          <w:t>https://doi.org/10.29038/2220-7481-2025-04-19-25</w:t>
        </w:r>
      </w:hyperlink>
      <w:r w:rsidRPr="00810A97">
        <w:rPr>
          <w:rFonts w:eastAsia="Calibri"/>
          <w:sz w:val="20"/>
          <w:szCs w:val="20"/>
          <w:lang w:val="en-US"/>
        </w:rPr>
        <w:t xml:space="preserve"> </w:t>
      </w:r>
      <w:r w:rsidRPr="00810A97">
        <w:rPr>
          <w:rFonts w:eastAsia="Calibri"/>
          <w:sz w:val="20"/>
          <w:szCs w:val="20"/>
          <w:shd w:val="clear" w:color="auto" w:fill="FFFFFF"/>
          <w:lang w:val="en-US"/>
        </w:rPr>
        <w:t>(in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Barkov V, Glazunov S, Zhembrovsky S, et al.</w:t>
      </w:r>
      <w:r w:rsidRPr="00810A97">
        <w:rPr>
          <w:rFonts w:eastAsia="Calibri"/>
          <w:bCs/>
          <w:sz w:val="20"/>
          <w:szCs w:val="20"/>
        </w:rPr>
        <w:t xml:space="preserve"> Physical training in the military. Practical recommendations.</w:t>
      </w:r>
      <w:r w:rsidRPr="00810A97">
        <w:rPr>
          <w:rFonts w:eastAsia="Calibri"/>
          <w:sz w:val="20"/>
          <w:szCs w:val="20"/>
        </w:rPr>
        <w:t xml:space="preserve"> Manual. </w:t>
      </w:r>
      <w:r w:rsidRPr="00810A97">
        <w:rPr>
          <w:rFonts w:eastAsia="Calibri"/>
          <w:sz w:val="20"/>
          <w:szCs w:val="20"/>
          <w:lang w:val="en-US" w:eastAsia="uk-UA"/>
        </w:rPr>
        <w:t xml:space="preserve">Kyiv. NUOU. </w:t>
      </w:r>
      <w:r w:rsidRPr="00810A97">
        <w:rPr>
          <w:rFonts w:eastAsia="Calibri"/>
          <w:sz w:val="20"/>
          <w:szCs w:val="20"/>
          <w:lang w:val="en-US"/>
        </w:rPr>
        <w:t>2017;</w:t>
      </w:r>
      <w:r w:rsidRPr="00810A97">
        <w:rPr>
          <w:rFonts w:eastAsia="Calibri"/>
          <w:sz w:val="20"/>
          <w:szCs w:val="20"/>
          <w:lang w:val="en-US" w:eastAsia="uk-UA"/>
        </w:rPr>
        <w:t xml:space="preserve"> 272 p.</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Zhembrovsky S, Petrachkov O, Pogrebnyak D, et al.</w:t>
      </w:r>
      <w:r w:rsidRPr="00810A97">
        <w:rPr>
          <w:rFonts w:eastAsia="Calibri"/>
          <w:bCs/>
          <w:sz w:val="20"/>
          <w:szCs w:val="20"/>
        </w:rPr>
        <w:t xml:space="preserve"> </w:t>
      </w:r>
      <w:r w:rsidRPr="00810A97">
        <w:rPr>
          <w:rFonts w:eastAsia="Calibri"/>
          <w:sz w:val="20"/>
          <w:szCs w:val="20"/>
        </w:rPr>
        <w:t>Management of physical training and sports activities in the system of the Ministry of Defense of Ukraine. Textbook.</w:t>
      </w:r>
      <w:r w:rsidRPr="00810A97">
        <w:rPr>
          <w:rFonts w:eastAsia="Calibri"/>
          <w:sz w:val="20"/>
          <w:szCs w:val="20"/>
          <w:lang w:val="en-US"/>
        </w:rPr>
        <w:t xml:space="preserve"> </w:t>
      </w:r>
      <w:r w:rsidRPr="00810A97">
        <w:rPr>
          <w:rFonts w:eastAsia="Calibri"/>
          <w:sz w:val="20"/>
          <w:szCs w:val="20"/>
          <w:lang w:val="en-US" w:eastAsia="uk-UA"/>
        </w:rPr>
        <w:t xml:space="preserve">Kyiv. 2024; 188 p. </w:t>
      </w:r>
      <w:r w:rsidRPr="00810A97">
        <w:rPr>
          <w:rFonts w:eastAsia="Calibri"/>
          <w:sz w:val="20"/>
          <w:szCs w:val="20"/>
          <w:shd w:val="clear" w:color="auto" w:fill="FFFFFF"/>
          <w:lang w:val="en-US"/>
        </w:rPr>
        <w:t>(in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Kornienko O, Verbyn N, Zhembrovsky S, et al.</w:t>
      </w:r>
      <w:r w:rsidRPr="00810A97">
        <w:rPr>
          <w:rFonts w:eastAsia="Calibri"/>
          <w:bCs/>
          <w:sz w:val="20"/>
          <w:szCs w:val="20"/>
        </w:rPr>
        <w:t xml:space="preserve"> </w:t>
      </w:r>
      <w:r w:rsidRPr="00810A97">
        <w:rPr>
          <w:rFonts w:eastAsia="Calibri"/>
          <w:sz w:val="20"/>
          <w:szCs w:val="20"/>
        </w:rPr>
        <w:t xml:space="preserve">Theory and organization of physical training of troops. Textbook. </w:t>
      </w:r>
      <w:r w:rsidRPr="00810A97">
        <w:rPr>
          <w:rFonts w:eastAsia="Calibri"/>
          <w:sz w:val="20"/>
          <w:szCs w:val="20"/>
          <w:lang w:val="en-US" w:eastAsia="uk-UA"/>
        </w:rPr>
        <w:t xml:space="preserve">Kyiv. NUOU. </w:t>
      </w:r>
      <w:r w:rsidRPr="00810A97">
        <w:rPr>
          <w:rFonts w:eastAsia="Calibri"/>
          <w:sz w:val="20"/>
          <w:szCs w:val="20"/>
          <w:lang w:val="en-US"/>
        </w:rPr>
        <w:t xml:space="preserve">2025; </w:t>
      </w:r>
      <w:r w:rsidRPr="00810A97">
        <w:rPr>
          <w:rFonts w:eastAsia="Calibri"/>
          <w:sz w:val="20"/>
          <w:szCs w:val="20"/>
          <w:lang w:val="en-US" w:eastAsia="uk-UA"/>
        </w:rPr>
        <w:t>276 p.</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 xml:space="preserve">Pylypey L. </w:t>
      </w:r>
      <w:r w:rsidRPr="00810A97">
        <w:rPr>
          <w:rFonts w:eastAsia="Calibri"/>
          <w:sz w:val="20"/>
          <w:szCs w:val="20"/>
          <w:shd w:val="clear" w:color="auto" w:fill="FFFFFF"/>
        </w:rPr>
        <w:t xml:space="preserve">Modeling of professional and applied physical training of university students. </w:t>
      </w:r>
      <w:r w:rsidRPr="00810A97">
        <w:rPr>
          <w:rFonts w:eastAsia="Calibri"/>
          <w:sz w:val="20"/>
          <w:szCs w:val="20"/>
          <w:lang w:val="en-US" w:eastAsia="uk-UA"/>
        </w:rPr>
        <w:t>Slobozhanskyi naukovo-sportyvnyi visnyk. Kharkiv. KhDAFK. 2009;4:26-30.</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 xml:space="preserve">Rolyuk O. </w:t>
      </w:r>
      <w:r w:rsidRPr="00810A97">
        <w:rPr>
          <w:rFonts w:eastAsia="Calibri"/>
          <w:sz w:val="20"/>
          <w:szCs w:val="20"/>
        </w:rPr>
        <w:t xml:space="preserve">Special Military Training of Reconnaissance Officers. </w:t>
      </w:r>
      <w:r w:rsidRPr="00810A97">
        <w:rPr>
          <w:rFonts w:eastAsia="Calibri"/>
          <w:sz w:val="20"/>
          <w:szCs w:val="20"/>
          <w:lang w:val="en-US" w:eastAsia="uk-UA"/>
        </w:rPr>
        <w:t>Fizychne vykhovannia, sport i kultura zdorovia u suchasnomu suspilstvi. Lviv. 2016;1(33):57-63.</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 xml:space="preserve">Stepanchenko N, Briskin Yu, Matviychuk T. The </w:t>
      </w:r>
      <w:r w:rsidRPr="00810A97">
        <w:rPr>
          <w:rFonts w:eastAsia="Calibri"/>
          <w:sz w:val="20"/>
          <w:szCs w:val="20"/>
        </w:rPr>
        <w:t xml:space="preserve">Model of the professional training of specialists </w:t>
      </w:r>
      <w:r w:rsidRPr="00810A97">
        <w:rPr>
          <w:rFonts w:eastAsia="Calibri"/>
          <w:sz w:val="20"/>
          <w:szCs w:val="20"/>
          <w:lang w:val="en-US"/>
        </w:rPr>
        <w:t xml:space="preserve">in </w:t>
      </w:r>
      <w:r w:rsidRPr="00810A97">
        <w:rPr>
          <w:rFonts w:eastAsia="Calibri"/>
          <w:sz w:val="20"/>
          <w:szCs w:val="20"/>
        </w:rPr>
        <w:t xml:space="preserve">physical </w:t>
      </w:r>
      <w:r w:rsidRPr="00810A97">
        <w:rPr>
          <w:rFonts w:eastAsia="Calibri"/>
          <w:sz w:val="20"/>
          <w:szCs w:val="20"/>
          <w:lang w:val="en-US"/>
        </w:rPr>
        <w:t>culture</w:t>
      </w:r>
      <w:r w:rsidRPr="00810A97">
        <w:rPr>
          <w:rFonts w:eastAsia="Calibri"/>
          <w:sz w:val="20"/>
          <w:szCs w:val="20"/>
        </w:rPr>
        <w:t xml:space="preserve"> and sports in higher education </w:t>
      </w:r>
      <w:r w:rsidRPr="00810A97">
        <w:rPr>
          <w:rFonts w:eastAsia="Calibri"/>
          <w:sz w:val="20"/>
          <w:szCs w:val="20"/>
          <w:lang w:val="en-US"/>
        </w:rPr>
        <w:t>facilities</w:t>
      </w:r>
      <w:r w:rsidRPr="00810A97">
        <w:rPr>
          <w:rFonts w:eastAsia="Calibri"/>
          <w:sz w:val="20"/>
          <w:szCs w:val="20"/>
        </w:rPr>
        <w:t xml:space="preserve">. </w:t>
      </w:r>
      <w:r w:rsidRPr="00810A97">
        <w:rPr>
          <w:rFonts w:eastAsia="Calibri"/>
          <w:sz w:val="20"/>
          <w:szCs w:val="20"/>
          <w:lang w:val="en-US"/>
        </w:rPr>
        <w:t xml:space="preserve">Visnyk Chernihivskoho NPU. </w:t>
      </w:r>
      <w:r w:rsidRPr="00810A97">
        <w:rPr>
          <w:rFonts w:eastAsia="Calibri"/>
          <w:sz w:val="20"/>
          <w:szCs w:val="20"/>
          <w:lang w:val="en-US" w:eastAsia="uk-UA"/>
        </w:rPr>
        <w:t>2018;154:74-9.</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t xml:space="preserve">Verbin N, </w:t>
      </w:r>
      <w:r w:rsidRPr="00810A97">
        <w:rPr>
          <w:rFonts w:eastAsia="Calibri"/>
          <w:sz w:val="20"/>
          <w:szCs w:val="20"/>
          <w:shd w:val="clear" w:color="auto" w:fill="FFFFFF"/>
          <w:lang w:val="en-US"/>
        </w:rPr>
        <w:t>Vysochina N, Kostiv S,</w:t>
      </w:r>
      <w:r w:rsidRPr="00810A97">
        <w:rPr>
          <w:rFonts w:eastAsia="Calibri"/>
          <w:sz w:val="20"/>
          <w:szCs w:val="20"/>
          <w:lang w:val="en-US"/>
        </w:rPr>
        <w:t xml:space="preserve"> </w:t>
      </w:r>
      <w:r w:rsidRPr="00810A97">
        <w:rPr>
          <w:rFonts w:eastAsia="Calibri"/>
          <w:sz w:val="20"/>
          <w:szCs w:val="20"/>
          <w:lang w:val="en-US" w:eastAsia="uk-UA"/>
        </w:rPr>
        <w:t xml:space="preserve">et al. </w:t>
      </w:r>
      <w:r w:rsidRPr="00810A97">
        <w:rPr>
          <w:rFonts w:eastAsia="Calibri"/>
          <w:sz w:val="20"/>
          <w:szCs w:val="20"/>
        </w:rPr>
        <w:t xml:space="preserve">Endurance of military personnel and methods of its development. Educational and methodological manual. </w:t>
      </w:r>
      <w:r w:rsidRPr="00810A97">
        <w:rPr>
          <w:rFonts w:eastAsia="Calibri"/>
          <w:sz w:val="20"/>
          <w:szCs w:val="20"/>
          <w:lang w:val="en-US"/>
        </w:rPr>
        <w:t>Kyiv. NUOU. 2023; 120</w:t>
      </w:r>
      <w:r w:rsidRPr="00810A97">
        <w:rPr>
          <w:rFonts w:eastAsia="Calibri"/>
          <w:sz w:val="20"/>
          <w:szCs w:val="20"/>
          <w:lang w:val="en-US" w:eastAsia="uk-UA"/>
        </w:rPr>
        <w:t xml:space="preserve"> p</w:t>
      </w:r>
      <w:r w:rsidRPr="00810A97">
        <w:rPr>
          <w:rFonts w:eastAsia="Calibri"/>
          <w:sz w:val="20"/>
          <w:szCs w:val="20"/>
          <w:lang w:val="en-US"/>
        </w:rPr>
        <w:t>.</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t xml:space="preserve">Petrachkov O. </w:t>
      </w:r>
      <w:r w:rsidRPr="00810A97">
        <w:rPr>
          <w:rFonts w:eastAsia="Calibri"/>
          <w:sz w:val="20"/>
          <w:szCs w:val="20"/>
        </w:rPr>
        <w:t xml:space="preserve">Prerequisites for developing a model of physical training for operational-level officers of the armed forces of Ukraine. </w:t>
      </w:r>
      <w:r w:rsidRPr="00810A97">
        <w:rPr>
          <w:rFonts w:eastAsia="Calibri"/>
          <w:bCs/>
          <w:sz w:val="20"/>
          <w:szCs w:val="20"/>
          <w:lang w:val="en-US"/>
        </w:rPr>
        <w:t xml:space="preserve">Naukovyi chasopys UDU imeni M.P. Drahomanova. </w:t>
      </w:r>
      <w:r w:rsidRPr="00810A97">
        <w:rPr>
          <w:rFonts w:eastAsia="Calibri"/>
          <w:sz w:val="20"/>
          <w:szCs w:val="20"/>
          <w:lang w:val="en-US"/>
        </w:rPr>
        <w:t>2026;3(202):</w:t>
      </w:r>
      <w:r w:rsidRPr="00810A97">
        <w:rPr>
          <w:rFonts w:eastAsia="Calibri"/>
          <w:sz w:val="20"/>
          <w:szCs w:val="20"/>
          <w:lang w:val="en-US" w:eastAsia="uk-UA"/>
        </w:rPr>
        <w:t>106</w:t>
      </w:r>
      <w:r w:rsidRPr="00810A97">
        <w:rPr>
          <w:rFonts w:eastAsia="Calibri"/>
          <w:sz w:val="20"/>
          <w:szCs w:val="20"/>
          <w:lang w:val="en-US"/>
        </w:rPr>
        <w:t>-</w:t>
      </w:r>
      <w:r w:rsidRPr="00810A97">
        <w:rPr>
          <w:rFonts w:eastAsia="Calibri"/>
          <w:sz w:val="20"/>
          <w:szCs w:val="20"/>
          <w:lang w:val="en-US" w:eastAsia="uk-UA"/>
        </w:rPr>
        <w:t>11.</w:t>
      </w:r>
      <w:r w:rsidRPr="00810A97">
        <w:rPr>
          <w:rFonts w:eastAsia="Calibri"/>
          <w:sz w:val="20"/>
          <w:szCs w:val="20"/>
          <w:lang w:val="en-US"/>
        </w:rPr>
        <w:t xml:space="preserve"> URL: </w:t>
      </w:r>
      <w:hyperlink r:id="rId23" w:history="1">
        <w:r w:rsidR="00DA6CC0" w:rsidRPr="00646581">
          <w:rPr>
            <w:rStyle w:val="af3"/>
            <w:rFonts w:eastAsia="Calibri"/>
            <w:sz w:val="20"/>
            <w:szCs w:val="20"/>
            <w:lang w:val="en-US"/>
          </w:rPr>
          <w:t>https://doi.org/10.31392/UDU-nc.series15.2026.03(202).22</w:t>
        </w:r>
      </w:hyperlink>
      <w:r w:rsidR="00DA6CC0">
        <w:rPr>
          <w:rFonts w:eastAsia="Calibri"/>
          <w:sz w:val="20"/>
          <w:szCs w:val="20"/>
        </w:rPr>
        <w:t xml:space="preserve"> </w:t>
      </w:r>
      <w:r w:rsidRPr="00810A97">
        <w:rPr>
          <w:rFonts w:eastAsia="Calibri"/>
          <w:sz w:val="20"/>
          <w:szCs w:val="20"/>
          <w:lang w:val="en-US"/>
        </w:rPr>
        <w:t xml:space="preserve"> </w:t>
      </w:r>
      <w:r w:rsidRPr="00810A97">
        <w:rPr>
          <w:rFonts w:eastAsia="Calibri"/>
          <w:sz w:val="20"/>
          <w:szCs w:val="20"/>
          <w:shd w:val="clear" w:color="auto" w:fill="FFFFFF"/>
          <w:lang w:val="en-US"/>
        </w:rPr>
        <w:t>(in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rPr>
        <w:t>Oleniev DG, Petrachkov OV, Verbyn NB, Shemchuk VA, Tiazhyna AM.</w:t>
      </w:r>
      <w:r w:rsidRPr="00810A97">
        <w:rPr>
          <w:rFonts w:eastAsia="Calibri"/>
          <w:sz w:val="20"/>
          <w:szCs w:val="20"/>
          <w:lang w:val="en-US" w:eastAsia="uk-UA"/>
        </w:rPr>
        <w:t xml:space="preserve"> </w:t>
      </w:r>
      <w:r w:rsidRPr="00810A97">
        <w:rPr>
          <w:rFonts w:eastAsia="Calibri"/>
          <w:sz w:val="20"/>
          <w:szCs w:val="20"/>
          <w:lang w:val="en-US"/>
        </w:rPr>
        <w:t xml:space="preserve">Dynamics of the professional endurance indicators in officers of the operational level in a higher military educational institution during training. Journal of Intellectual Disability-Diagnosis and Treatment. 2021;9(5):495-503. URL: </w:t>
      </w:r>
      <w:hyperlink r:id="rId24" w:history="1">
        <w:r w:rsidRPr="00810A97">
          <w:rPr>
            <w:rFonts w:eastAsia="Calibri"/>
            <w:sz w:val="20"/>
            <w:szCs w:val="20"/>
            <w:lang w:val="en-US"/>
          </w:rPr>
          <w:t>https://doi.org/10.6000/2292-2598.2021.09.05.8</w:t>
        </w:r>
      </w:hyperlink>
      <w:r w:rsidR="00DA6CC0">
        <w:t xml:space="preserve"> </w:t>
      </w:r>
      <w:r w:rsidRPr="00810A97">
        <w:rPr>
          <w:rFonts w:ascii="Calibri" w:eastAsia="Calibri" w:hAnsi="Calibri"/>
          <w:sz w:val="20"/>
          <w:szCs w:val="20"/>
          <w:lang w:val="en-US"/>
        </w:rPr>
        <w:t xml:space="preserve">. </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lastRenderedPageBreak/>
        <w:t xml:space="preserve">Verbin N, </w:t>
      </w:r>
      <w:r w:rsidRPr="00810A97">
        <w:rPr>
          <w:rFonts w:eastAsia="Calibri"/>
          <w:sz w:val="20"/>
          <w:szCs w:val="20"/>
          <w:lang w:val="en-US" w:eastAsia="uk-UA"/>
        </w:rPr>
        <w:t xml:space="preserve">Zhembrovsky S, </w:t>
      </w:r>
      <w:r w:rsidRPr="00810A97">
        <w:rPr>
          <w:rFonts w:eastAsia="Calibri"/>
          <w:sz w:val="20"/>
          <w:szCs w:val="20"/>
          <w:shd w:val="clear" w:color="auto" w:fill="FFFFFF"/>
          <w:lang w:val="en-US"/>
        </w:rPr>
        <w:t xml:space="preserve">Svystun V, </w:t>
      </w:r>
      <w:r w:rsidRPr="00810A97">
        <w:rPr>
          <w:rFonts w:eastAsia="Calibri"/>
          <w:sz w:val="20"/>
          <w:szCs w:val="20"/>
          <w:lang w:val="en-US" w:eastAsia="uk-UA"/>
        </w:rPr>
        <w:t xml:space="preserve">et al. </w:t>
      </w:r>
      <w:r w:rsidRPr="00810A97">
        <w:rPr>
          <w:rFonts w:eastAsia="Calibri"/>
          <w:sz w:val="20"/>
          <w:szCs w:val="20"/>
        </w:rPr>
        <w:t xml:space="preserve">Endurance and Survival on the Battlefield. Textbook. </w:t>
      </w:r>
      <w:r w:rsidRPr="00810A97">
        <w:rPr>
          <w:rFonts w:eastAsia="Calibri"/>
          <w:sz w:val="20"/>
          <w:szCs w:val="20"/>
          <w:lang w:val="en-US"/>
        </w:rPr>
        <w:t xml:space="preserve">Kyiv. NUOU. 2023; 188 </w:t>
      </w:r>
      <w:r w:rsidRPr="00810A97">
        <w:rPr>
          <w:rFonts w:eastAsia="Calibri"/>
          <w:sz w:val="20"/>
          <w:szCs w:val="20"/>
          <w:lang w:val="en-US" w:eastAsia="uk-UA"/>
        </w:rPr>
        <w:t>p</w:t>
      </w:r>
      <w:r w:rsidRPr="00810A97">
        <w:rPr>
          <w:rFonts w:eastAsia="Calibri"/>
          <w:sz w:val="20"/>
          <w:szCs w:val="20"/>
          <w:lang w:val="en-US"/>
        </w:rPr>
        <w:t>.</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shd w:val="clear" w:color="auto" w:fill="FFFFFF"/>
          <w:lang w:val="en-US"/>
        </w:rPr>
        <w:t>Finogenov</w:t>
      </w:r>
      <w:r w:rsidRPr="00810A97">
        <w:rPr>
          <w:rFonts w:eastAsia="Calibri"/>
          <w:sz w:val="20"/>
          <w:szCs w:val="20"/>
          <w:shd w:val="clear" w:color="auto" w:fill="FFFFFF"/>
        </w:rPr>
        <w:t xml:space="preserve"> </w:t>
      </w:r>
      <w:r w:rsidRPr="00810A97">
        <w:rPr>
          <w:rFonts w:eastAsia="Calibri"/>
          <w:sz w:val="20"/>
          <w:szCs w:val="20"/>
          <w:shd w:val="clear" w:color="auto" w:fill="FFFFFF"/>
          <w:lang w:val="en-US"/>
        </w:rPr>
        <w:t>YuS</w:t>
      </w:r>
      <w:r w:rsidRPr="00810A97">
        <w:rPr>
          <w:rFonts w:eastAsia="Calibri"/>
          <w:sz w:val="20"/>
          <w:szCs w:val="20"/>
          <w:shd w:val="clear" w:color="auto" w:fill="FFFFFF"/>
        </w:rPr>
        <w:t xml:space="preserve">, </w:t>
      </w:r>
      <w:r w:rsidRPr="00810A97">
        <w:rPr>
          <w:rFonts w:eastAsia="Calibri"/>
          <w:sz w:val="20"/>
          <w:szCs w:val="20"/>
          <w:shd w:val="clear" w:color="auto" w:fill="FFFFFF"/>
          <w:lang w:val="en-US"/>
        </w:rPr>
        <w:t>Blagii</w:t>
      </w:r>
      <w:r w:rsidRPr="00810A97">
        <w:rPr>
          <w:rFonts w:eastAsia="Calibri"/>
          <w:sz w:val="20"/>
          <w:szCs w:val="20"/>
          <w:shd w:val="clear" w:color="auto" w:fill="FFFFFF"/>
        </w:rPr>
        <w:t xml:space="preserve"> </w:t>
      </w:r>
      <w:r w:rsidRPr="00810A97">
        <w:rPr>
          <w:rFonts w:eastAsia="Calibri"/>
          <w:sz w:val="20"/>
          <w:szCs w:val="20"/>
          <w:shd w:val="clear" w:color="auto" w:fill="FFFFFF"/>
          <w:lang w:val="en-US"/>
        </w:rPr>
        <w:t>OL</w:t>
      </w:r>
      <w:r w:rsidRPr="00810A97">
        <w:rPr>
          <w:rFonts w:eastAsia="Calibri"/>
          <w:sz w:val="20"/>
          <w:szCs w:val="20"/>
          <w:shd w:val="clear" w:color="auto" w:fill="FFFFFF"/>
        </w:rPr>
        <w:t xml:space="preserve">, </w:t>
      </w:r>
      <w:r w:rsidRPr="00810A97">
        <w:rPr>
          <w:rFonts w:eastAsia="Calibri"/>
          <w:sz w:val="20"/>
          <w:szCs w:val="20"/>
          <w:shd w:val="clear" w:color="auto" w:fill="FFFFFF"/>
          <w:lang w:val="en-US"/>
        </w:rPr>
        <w:t>Glazunov</w:t>
      </w:r>
      <w:r w:rsidRPr="00810A97">
        <w:rPr>
          <w:rFonts w:eastAsia="Calibri"/>
          <w:sz w:val="20"/>
          <w:szCs w:val="20"/>
        </w:rPr>
        <w:t xml:space="preserve"> </w:t>
      </w:r>
      <w:r w:rsidRPr="00810A97">
        <w:rPr>
          <w:rFonts w:eastAsia="Calibri"/>
          <w:sz w:val="20"/>
          <w:szCs w:val="20"/>
          <w:shd w:val="clear" w:color="auto" w:fill="FFFFFF"/>
          <w:lang w:val="en-US"/>
        </w:rPr>
        <w:t>SI</w:t>
      </w:r>
      <w:r w:rsidRPr="00810A97">
        <w:rPr>
          <w:rFonts w:eastAsia="Calibri"/>
          <w:sz w:val="20"/>
          <w:szCs w:val="20"/>
          <w:shd w:val="clear" w:color="auto" w:fill="FFFFFF"/>
        </w:rPr>
        <w:t xml:space="preserve">. </w:t>
      </w:r>
      <w:r w:rsidRPr="00810A97">
        <w:rPr>
          <w:rFonts w:eastAsia="Calibri"/>
          <w:sz w:val="20"/>
          <w:szCs w:val="20"/>
        </w:rPr>
        <w:t xml:space="preserve">Physical education, special physical training and sports. Textbook. </w:t>
      </w:r>
      <w:r w:rsidRPr="00810A97">
        <w:rPr>
          <w:rFonts w:eastAsia="Calibri"/>
          <w:sz w:val="20"/>
          <w:szCs w:val="20"/>
          <w:lang w:val="en-US"/>
        </w:rPr>
        <w:t>Kyiv. NUOU</w:t>
      </w:r>
      <w:r w:rsidRPr="00810A97">
        <w:rPr>
          <w:rFonts w:eastAsia="Calibri"/>
          <w:sz w:val="20"/>
          <w:szCs w:val="20"/>
        </w:rPr>
        <w:t>.</w:t>
      </w:r>
      <w:r w:rsidRPr="00810A97">
        <w:rPr>
          <w:rFonts w:eastAsia="Calibri"/>
          <w:sz w:val="20"/>
          <w:szCs w:val="20"/>
          <w:lang w:val="en-US"/>
        </w:rPr>
        <w:t xml:space="preserve"> 2014;</w:t>
      </w:r>
      <w:r w:rsidRPr="00810A97">
        <w:rPr>
          <w:rFonts w:eastAsia="Calibri"/>
          <w:sz w:val="20"/>
          <w:szCs w:val="20"/>
          <w:lang w:val="en-US" w:eastAsia="uk-UA"/>
        </w:rPr>
        <w:t xml:space="preserve"> </w:t>
      </w:r>
      <w:r w:rsidRPr="00810A97">
        <w:rPr>
          <w:rFonts w:eastAsia="Calibri"/>
          <w:sz w:val="20"/>
          <w:szCs w:val="20"/>
          <w:lang w:val="en-US"/>
        </w:rPr>
        <w:t>468 p.</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shd w:val="clear" w:color="auto" w:fill="FFFFFF"/>
          <w:lang w:val="en-US"/>
        </w:rPr>
        <w:t xml:space="preserve">Yarmak O, Petrachkov O, Zhembrovskyi S, Andrieieva O, </w:t>
      </w:r>
      <w:r w:rsidRPr="00810A97">
        <w:rPr>
          <w:rFonts w:eastAsia="Calibri"/>
          <w:sz w:val="20"/>
          <w:szCs w:val="20"/>
          <w:lang w:val="en-US" w:eastAsia="uk-UA"/>
        </w:rPr>
        <w:t xml:space="preserve">et al. </w:t>
      </w:r>
      <w:r w:rsidRPr="00810A97">
        <w:rPr>
          <w:rFonts w:eastAsia="Calibri"/>
          <w:sz w:val="20"/>
          <w:szCs w:val="20"/>
          <w:shd w:val="clear" w:color="auto" w:fill="FFFFFF"/>
          <w:lang w:val="en-US"/>
        </w:rPr>
        <w:t xml:space="preserve">Sex-related differences in heart rate variability and static body stability in military personnel under stressful conditions. Journal of Physical Education and Sport. 2025;3(25):579-88. URL: </w:t>
      </w:r>
      <w:hyperlink r:id="rId25" w:history="1">
        <w:r w:rsidRPr="00810A97">
          <w:rPr>
            <w:rFonts w:eastAsia="Calibri"/>
            <w:color w:val="0000FF"/>
            <w:sz w:val="20"/>
            <w:szCs w:val="20"/>
            <w:u w:val="single"/>
            <w:lang w:val="en-US"/>
          </w:rPr>
          <w:t>https://doi.org/</w:t>
        </w:r>
        <w:r w:rsidRPr="00810A97">
          <w:rPr>
            <w:rFonts w:eastAsia="Calibri"/>
            <w:color w:val="0000FF"/>
            <w:sz w:val="20"/>
            <w:szCs w:val="20"/>
            <w:u w:val="single"/>
            <w:shd w:val="clear" w:color="auto" w:fill="FFFFFF"/>
            <w:lang w:val="en-US"/>
          </w:rPr>
          <w:t>10.7752/jpes.2025.03063</w:t>
        </w:r>
      </w:hyperlink>
      <w:r w:rsidRPr="00810A97">
        <w:rPr>
          <w:rFonts w:ascii="Calibri" w:eastAsia="Calibri" w:hAnsi="Calibri"/>
          <w:sz w:val="20"/>
          <w:szCs w:val="20"/>
          <w:lang w:val="en-US"/>
        </w:rPr>
        <w:t>.</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Petrachkov O, Kyslenko D, Mykhaylov V,</w:t>
      </w:r>
      <w:r w:rsidRPr="00810A97">
        <w:rPr>
          <w:rFonts w:eastAsia="Calibri"/>
          <w:sz w:val="20"/>
          <w:szCs w:val="20"/>
          <w:lang w:val="en-US" w:eastAsia="uk-UA"/>
        </w:rPr>
        <w:t xml:space="preserve"> </w:t>
      </w:r>
      <w:r w:rsidRPr="00810A97">
        <w:rPr>
          <w:rFonts w:eastAsia="Calibri"/>
          <w:sz w:val="20"/>
          <w:szCs w:val="20"/>
        </w:rPr>
        <w:t>Shostak R, Polyvaniuk</w:t>
      </w:r>
      <w:r w:rsidRPr="00810A97">
        <w:rPr>
          <w:rFonts w:eastAsia="Calibri"/>
          <w:sz w:val="20"/>
          <w:szCs w:val="20"/>
          <w:lang w:val="en-US"/>
        </w:rPr>
        <w:t xml:space="preserve"> </w:t>
      </w:r>
      <w:r w:rsidRPr="00810A97">
        <w:rPr>
          <w:rFonts w:eastAsia="Calibri"/>
          <w:sz w:val="20"/>
          <w:szCs w:val="20"/>
        </w:rPr>
        <w:t>V</w:t>
      </w:r>
      <w:r w:rsidRPr="00810A97">
        <w:rPr>
          <w:rFonts w:eastAsia="Calibri"/>
          <w:sz w:val="20"/>
          <w:szCs w:val="20"/>
          <w:lang w:val="en-US"/>
        </w:rPr>
        <w:t>.</w:t>
      </w:r>
      <w:r w:rsidRPr="00810A97">
        <w:rPr>
          <w:rFonts w:eastAsia="Calibri"/>
          <w:sz w:val="20"/>
          <w:szCs w:val="20"/>
        </w:rPr>
        <w:t xml:space="preserve"> </w:t>
      </w:r>
      <w:r w:rsidRPr="00810A97">
        <w:rPr>
          <w:rFonts w:eastAsia="Calibri"/>
          <w:sz w:val="20"/>
          <w:szCs w:val="20"/>
          <w:lang w:val="en-US"/>
        </w:rPr>
        <w:t>Motivation of military specialists to engage physical training during the legal regime of martial law.</w:t>
      </w:r>
      <w:r w:rsidRPr="00810A97">
        <w:rPr>
          <w:rFonts w:eastAsia="Calibri"/>
          <w:sz w:val="20"/>
          <w:szCs w:val="20"/>
          <w:lang w:val="en-US" w:eastAsia="uk-UA"/>
        </w:rPr>
        <w:t xml:space="preserve"> </w:t>
      </w:r>
      <w:r w:rsidRPr="00810A97">
        <w:rPr>
          <w:rFonts w:eastAsia="Calibri"/>
          <w:sz w:val="20"/>
          <w:szCs w:val="20"/>
          <w:lang w:val="en-US"/>
        </w:rPr>
        <w:t>Journal of Physical Education and Sport. 2024;24(6):1457</w:t>
      </w:r>
      <w:r w:rsidRPr="00810A97">
        <w:rPr>
          <w:rFonts w:eastAsia="Calibri"/>
          <w:sz w:val="20"/>
          <w:szCs w:val="20"/>
          <w:lang w:val="en-US" w:eastAsia="uk-UA"/>
        </w:rPr>
        <w:t>-</w:t>
      </w:r>
      <w:r w:rsidRPr="00810A97">
        <w:rPr>
          <w:rFonts w:eastAsia="Calibri"/>
          <w:sz w:val="20"/>
          <w:szCs w:val="20"/>
          <w:lang w:val="en-US"/>
        </w:rPr>
        <w:t xml:space="preserve">64. URL: </w:t>
      </w:r>
      <w:hyperlink r:id="rId26" w:history="1">
        <w:r w:rsidRPr="00810A97">
          <w:rPr>
            <w:rFonts w:eastAsia="Calibri"/>
            <w:color w:val="0000FF"/>
            <w:sz w:val="20"/>
            <w:szCs w:val="20"/>
            <w:u w:val="single"/>
            <w:lang w:val="en-US" w:eastAsia="uk-UA"/>
          </w:rPr>
          <w:t>https://doi.org/</w:t>
        </w:r>
        <w:r w:rsidRPr="00810A97">
          <w:rPr>
            <w:rFonts w:eastAsia="Calibri"/>
            <w:color w:val="0000FF"/>
            <w:sz w:val="20"/>
            <w:szCs w:val="20"/>
            <w:u w:val="single"/>
            <w:lang w:val="en-US"/>
          </w:rPr>
          <w:t>10.7752/jpes.2024.06165</w:t>
        </w:r>
      </w:hyperlink>
      <w:r w:rsidRPr="00810A97">
        <w:rPr>
          <w:rFonts w:eastAsia="Calibri"/>
          <w:sz w:val="20"/>
          <w:szCs w:val="20"/>
          <w:lang w:val="en-US"/>
        </w:rPr>
        <w:t xml:space="preserve"> </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val="en-US" w:eastAsia="uk-UA"/>
        </w:rPr>
      </w:pPr>
      <w:r w:rsidRPr="00810A97">
        <w:rPr>
          <w:sz w:val="20"/>
          <w:szCs w:val="20"/>
          <w:lang w:val="en-US" w:eastAsia="uk-UA"/>
        </w:rPr>
        <w:t xml:space="preserve">Petrachkov O, Yarmak O, Biloshytskyi V, Andrieieva O, </w:t>
      </w:r>
      <w:r w:rsidRPr="00810A97">
        <w:rPr>
          <w:rFonts w:eastAsia="Calibri"/>
          <w:sz w:val="20"/>
          <w:szCs w:val="20"/>
          <w:lang w:val="en-US"/>
        </w:rPr>
        <w:t>Mykhaylov V,</w:t>
      </w:r>
      <w:r w:rsidRPr="00810A97">
        <w:rPr>
          <w:sz w:val="20"/>
          <w:szCs w:val="20"/>
          <w:lang w:val="en-US" w:eastAsia="uk-UA"/>
        </w:rPr>
        <w:t xml:space="preserve"> </w:t>
      </w:r>
      <w:r w:rsidRPr="00810A97">
        <w:rPr>
          <w:rFonts w:eastAsia="Calibri"/>
          <w:sz w:val="20"/>
          <w:szCs w:val="20"/>
          <w:lang w:val="en-US" w:eastAsia="uk-UA"/>
        </w:rPr>
        <w:t>et al. The influence of morphofunctional condition on the physical fitness level of Ukrainian soldiers. Journal of Physical Education and Sport. 2022;22(9):2182-9. URL: https://doi.org/</w:t>
      </w:r>
      <w:hyperlink r:id="rId27" w:history="1">
        <w:r w:rsidRPr="00810A97">
          <w:rPr>
            <w:rFonts w:eastAsia="Calibri"/>
            <w:color w:val="0000FF"/>
            <w:sz w:val="20"/>
            <w:szCs w:val="20"/>
            <w:u w:val="single"/>
            <w:lang w:val="en-US" w:eastAsia="uk-UA"/>
          </w:rPr>
          <w:t>10.7752/jpes.2022.09278</w:t>
        </w:r>
      </w:hyperlink>
      <w:r w:rsidRPr="00810A97">
        <w:rPr>
          <w:rFonts w:ascii="Calibri" w:eastAsia="Calibri" w:hAnsi="Calibri"/>
          <w:sz w:val="20"/>
          <w:szCs w:val="20"/>
          <w:lang w:val="en-US"/>
        </w:rPr>
        <w:t>.</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t>Yudin V, Kiyko A, Volkova Yu.</w:t>
      </w:r>
      <w:r w:rsidRPr="00810A97">
        <w:rPr>
          <w:rFonts w:eastAsia="Calibri"/>
          <w:sz w:val="20"/>
          <w:szCs w:val="20"/>
        </w:rPr>
        <w:t xml:space="preserve"> Theory and methodology of military pentathlon (obstacle course). Training manual. </w:t>
      </w:r>
      <w:r w:rsidRPr="00810A97">
        <w:rPr>
          <w:rFonts w:eastAsia="Calibri"/>
          <w:sz w:val="20"/>
          <w:szCs w:val="20"/>
          <w:lang w:val="en-US"/>
        </w:rPr>
        <w:t>Kyiv. NUOU. 2024;</w:t>
      </w:r>
      <w:r w:rsidRPr="00810A97">
        <w:rPr>
          <w:rFonts w:eastAsia="Calibri"/>
          <w:sz w:val="20"/>
          <w:szCs w:val="20"/>
          <w:lang w:val="en-US" w:eastAsia="uk-UA"/>
        </w:rPr>
        <w:t xml:space="preserve"> </w:t>
      </w:r>
      <w:r w:rsidRPr="00810A97">
        <w:rPr>
          <w:rFonts w:eastAsia="Calibri"/>
          <w:sz w:val="20"/>
          <w:szCs w:val="20"/>
          <w:lang w:val="en-US"/>
        </w:rPr>
        <w:t>112</w:t>
      </w:r>
      <w:r w:rsidRPr="00810A97">
        <w:rPr>
          <w:rFonts w:eastAsia="Calibri"/>
          <w:sz w:val="20"/>
          <w:szCs w:val="20"/>
        </w:rPr>
        <w:t xml:space="preserve"> </w:t>
      </w:r>
      <w:r w:rsidRPr="00810A97">
        <w:rPr>
          <w:rFonts w:eastAsia="Calibri"/>
          <w:sz w:val="20"/>
          <w:szCs w:val="20"/>
          <w:lang w:val="en-US"/>
        </w:rPr>
        <w:t>p.</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Korobeynikov G, Korobeynikova L, Chernozubz A. Psychophysiological peculiarities of sexual dimorphism in athletes. Journal of Psychology Research. 2012;6:336</w:t>
      </w:r>
      <w:r w:rsidRPr="00810A97">
        <w:rPr>
          <w:rFonts w:eastAsia="Calibri"/>
          <w:sz w:val="20"/>
          <w:szCs w:val="20"/>
          <w:shd w:val="clear" w:color="auto" w:fill="FFFFFF"/>
          <w:lang w:val="en-US"/>
        </w:rPr>
        <w:t>-</w:t>
      </w:r>
      <w:r w:rsidRPr="00810A97">
        <w:rPr>
          <w:rFonts w:eastAsia="Calibri"/>
          <w:sz w:val="20"/>
          <w:szCs w:val="20"/>
          <w:lang w:val="en-US"/>
        </w:rPr>
        <w:t>43.</w:t>
      </w:r>
      <w:r w:rsidRPr="00810A97">
        <w:rPr>
          <w:rFonts w:eastAsia="Calibri"/>
          <w:sz w:val="20"/>
          <w:szCs w:val="20"/>
          <w:shd w:val="clear" w:color="auto" w:fill="FFFFFF"/>
          <w:lang w:val="en-US"/>
        </w:rPr>
        <w:t xml:space="preserve"> URL: https://doi.org/</w:t>
      </w:r>
      <w:hyperlink r:id="rId28" w:tgtFrame="_blank" w:history="1">
        <w:r w:rsidRPr="00810A97">
          <w:rPr>
            <w:rFonts w:eastAsia="Calibri"/>
            <w:color w:val="0000FF"/>
            <w:sz w:val="20"/>
            <w:szCs w:val="20"/>
            <w:u w:val="single"/>
            <w:bdr w:val="none" w:sz="0" w:space="0" w:color="auto" w:frame="1"/>
            <w:shd w:val="clear" w:color="auto" w:fill="FFFFFF"/>
            <w:lang w:val="en-US"/>
          </w:rPr>
          <w:t>10.17265/2159-5542/2012.06.002</w:t>
        </w:r>
      </w:hyperlink>
      <w:r w:rsidRPr="00810A97">
        <w:rPr>
          <w:rFonts w:ascii="Calibri" w:eastAsia="Calibri" w:hAnsi="Calibri"/>
          <w:sz w:val="20"/>
          <w:szCs w:val="20"/>
          <w:lang w:val="en-US"/>
        </w:rPr>
        <w:t xml:space="preserve">. </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val="en-US" w:eastAsia="uk-UA"/>
        </w:rPr>
      </w:pPr>
      <w:r w:rsidRPr="00810A97">
        <w:rPr>
          <w:rFonts w:eastAsia="Calibri"/>
          <w:sz w:val="20"/>
          <w:szCs w:val="20"/>
          <w:lang w:val="en-US"/>
        </w:rPr>
        <w:t xml:space="preserve">Petrachkov O, Yarmak O, Chepurnyi V, Mykhaylov V, </w:t>
      </w:r>
      <w:r w:rsidRPr="00810A97">
        <w:rPr>
          <w:rFonts w:eastAsia="Calibri"/>
          <w:sz w:val="20"/>
          <w:szCs w:val="20"/>
          <w:lang w:val="en-US" w:eastAsia="uk-UA"/>
        </w:rPr>
        <w:t xml:space="preserve">et al. </w:t>
      </w:r>
      <w:r w:rsidRPr="00810A97">
        <w:rPr>
          <w:rFonts w:eastAsia="Calibri"/>
          <w:sz w:val="20"/>
          <w:szCs w:val="20"/>
          <w:lang w:val="en-US"/>
        </w:rPr>
        <w:t xml:space="preserve">The impact of static spatial stability on soldiers’ functional readiness. Journal of Physical Education and Sport. 2024;24(3):720-30. URL: </w:t>
      </w:r>
      <w:r w:rsidRPr="00810A97">
        <w:rPr>
          <w:rFonts w:eastAsia="Calibri"/>
          <w:sz w:val="20"/>
          <w:szCs w:val="20"/>
          <w:lang w:val="en-US" w:eastAsia="uk-UA"/>
        </w:rPr>
        <w:t>https://doi.org/</w:t>
      </w:r>
      <w:r w:rsidRPr="00810A97">
        <w:rPr>
          <w:rFonts w:eastAsia="Calibri"/>
          <w:sz w:val="20"/>
          <w:szCs w:val="20"/>
          <w:lang w:val="en-US"/>
        </w:rPr>
        <w:t>10.7752/jpes.2024.03085.</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bidi="en-US"/>
        </w:rPr>
        <w:t>Bielikov I,</w:t>
      </w:r>
      <w:r w:rsidRPr="00810A97">
        <w:rPr>
          <w:rFonts w:eastAsia="Calibri"/>
          <w:sz w:val="20"/>
          <w:szCs w:val="20"/>
          <w:lang w:val="en-US"/>
        </w:rPr>
        <w:t xml:space="preserve"> </w:t>
      </w:r>
      <w:r w:rsidRPr="00810A97">
        <w:rPr>
          <w:rFonts w:eastAsia="Calibri"/>
          <w:sz w:val="20"/>
          <w:szCs w:val="20"/>
          <w:shd w:val="clear" w:color="auto" w:fill="FFFFFF"/>
          <w:lang w:val="en-US"/>
        </w:rPr>
        <w:t xml:space="preserve">Galashevskyi H, </w:t>
      </w:r>
      <w:r w:rsidRPr="00810A97">
        <w:rPr>
          <w:rFonts w:eastAsia="Calibri"/>
          <w:sz w:val="20"/>
          <w:szCs w:val="20"/>
          <w:lang w:val="en-US" w:eastAsia="uk-UA"/>
        </w:rPr>
        <w:t xml:space="preserve">Petrachkov O, </w:t>
      </w:r>
      <w:r w:rsidRPr="00810A97">
        <w:rPr>
          <w:rFonts w:eastAsia="Calibri"/>
          <w:sz w:val="20"/>
          <w:szCs w:val="20"/>
          <w:lang w:val="en-US"/>
        </w:rPr>
        <w:t xml:space="preserve">Cherenok Y. </w:t>
      </w:r>
      <w:r w:rsidRPr="00810A97">
        <w:rPr>
          <w:rFonts w:eastAsia="Calibri"/>
          <w:sz w:val="20"/>
          <w:szCs w:val="20"/>
        </w:rPr>
        <w:t>Sports games and methods of teaching them (volleyball). Textbook.</w:t>
      </w:r>
      <w:r w:rsidRPr="00810A97">
        <w:rPr>
          <w:rFonts w:eastAsia="Calibri"/>
          <w:sz w:val="20"/>
          <w:szCs w:val="20"/>
          <w:lang w:val="en-US"/>
        </w:rPr>
        <w:t xml:space="preserve"> Kyiv. NUOU. 2025; 104 </w:t>
      </w:r>
      <w:r w:rsidRPr="00810A97">
        <w:rPr>
          <w:rFonts w:eastAsia="Calibri"/>
          <w:sz w:val="20"/>
          <w:szCs w:val="20"/>
          <w:lang w:val="en-US" w:eastAsia="uk-UA"/>
        </w:rPr>
        <w:t>p</w:t>
      </w:r>
      <w:r w:rsidRPr="00810A97">
        <w:rPr>
          <w:rFonts w:eastAsia="Calibri"/>
          <w:sz w:val="20"/>
          <w:szCs w:val="20"/>
          <w:lang w:val="en-US"/>
        </w:rPr>
        <w:t>.</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t>Petrachkov O,</w:t>
      </w:r>
      <w:r w:rsidRPr="00810A97">
        <w:rPr>
          <w:rFonts w:eastAsia="Calibri"/>
          <w:sz w:val="20"/>
          <w:szCs w:val="20"/>
          <w:lang w:val="en-US" w:eastAsia="uk-UA"/>
        </w:rPr>
        <w:t xml:space="preserve"> Zhembrovsky S, Pogrebnyak D, </w:t>
      </w:r>
      <w:r w:rsidRPr="00810A97">
        <w:rPr>
          <w:rFonts w:eastAsia="Calibri"/>
          <w:sz w:val="20"/>
          <w:szCs w:val="20"/>
          <w:lang w:val="en-US"/>
        </w:rPr>
        <w:t xml:space="preserve">Malakhov Y. </w:t>
      </w:r>
      <w:r w:rsidRPr="00810A97">
        <w:rPr>
          <w:rFonts w:eastAsia="Calibri"/>
          <w:bCs/>
          <w:sz w:val="20"/>
          <w:szCs w:val="20"/>
        </w:rPr>
        <w:t>Theory and methodology of teaching sports games (basketball). Teaching and methodological manual</w:t>
      </w:r>
      <w:r w:rsidRPr="00810A97">
        <w:rPr>
          <w:rFonts w:eastAsia="Calibri"/>
          <w:sz w:val="20"/>
          <w:szCs w:val="20"/>
        </w:rPr>
        <w:t xml:space="preserve">. </w:t>
      </w:r>
      <w:r w:rsidRPr="00810A97">
        <w:rPr>
          <w:rFonts w:eastAsia="Calibri"/>
          <w:bCs/>
          <w:sz w:val="20"/>
          <w:szCs w:val="20"/>
          <w:lang w:val="en-US"/>
        </w:rPr>
        <w:t xml:space="preserve">Kyiv. NUOU. </w:t>
      </w:r>
      <w:r w:rsidRPr="00810A97">
        <w:rPr>
          <w:rFonts w:eastAsia="Calibri"/>
          <w:sz w:val="20"/>
          <w:szCs w:val="20"/>
          <w:lang w:val="en-US"/>
        </w:rPr>
        <w:t>2024; 182</w:t>
      </w:r>
      <w:r w:rsidRPr="00810A97">
        <w:rPr>
          <w:rFonts w:eastAsia="Calibri"/>
          <w:sz w:val="20"/>
          <w:szCs w:val="20"/>
        </w:rPr>
        <w:t xml:space="preserve"> </w:t>
      </w:r>
      <w:r w:rsidRPr="00810A97">
        <w:rPr>
          <w:rFonts w:eastAsia="Calibri"/>
          <w:sz w:val="20"/>
          <w:szCs w:val="20"/>
          <w:lang w:val="en-US" w:eastAsia="uk-UA"/>
        </w:rPr>
        <w:t>p</w:t>
      </w:r>
      <w:r w:rsidRPr="00810A97">
        <w:rPr>
          <w:rFonts w:eastAsia="Calibri"/>
          <w:sz w:val="20"/>
          <w:szCs w:val="20"/>
          <w:lang w:val="en-US"/>
        </w:rPr>
        <w:t>.</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 xml:space="preserve">Pogrebnyak D, </w:t>
      </w:r>
      <w:r w:rsidRPr="00810A97">
        <w:rPr>
          <w:rFonts w:eastAsia="Calibri"/>
          <w:sz w:val="20"/>
          <w:szCs w:val="20"/>
          <w:lang w:val="en-US"/>
        </w:rPr>
        <w:t xml:space="preserve">Petrachkov O, Biloshitskiy V, </w:t>
      </w:r>
      <w:r w:rsidRPr="00810A97">
        <w:rPr>
          <w:rFonts w:eastAsia="Calibri"/>
          <w:sz w:val="20"/>
          <w:szCs w:val="20"/>
          <w:lang w:val="en-US" w:eastAsia="uk-UA"/>
        </w:rPr>
        <w:t>et al</w:t>
      </w:r>
      <w:r w:rsidRPr="00810A97">
        <w:rPr>
          <w:rFonts w:eastAsia="Calibri"/>
          <w:sz w:val="20"/>
          <w:szCs w:val="20"/>
          <w:shd w:val="clear" w:color="auto" w:fill="FFFFFF"/>
          <w:lang w:val="en-US"/>
        </w:rPr>
        <w:t xml:space="preserve">. </w:t>
      </w:r>
      <w:r w:rsidRPr="00810A97">
        <w:rPr>
          <w:rFonts w:eastAsia="Calibri"/>
          <w:sz w:val="20"/>
          <w:szCs w:val="20"/>
        </w:rPr>
        <w:t xml:space="preserve">Theory and methods of teaching sports games (football). Teaching and methodical manual. </w:t>
      </w:r>
      <w:r w:rsidRPr="00810A97">
        <w:rPr>
          <w:rFonts w:eastAsia="Calibri"/>
          <w:sz w:val="20"/>
          <w:szCs w:val="20"/>
          <w:lang w:val="en-US"/>
        </w:rPr>
        <w:t xml:space="preserve">Kyiv. NUOU. </w:t>
      </w:r>
      <w:r w:rsidRPr="00810A97">
        <w:rPr>
          <w:rFonts w:eastAsia="Calibri"/>
          <w:sz w:val="20"/>
          <w:szCs w:val="20"/>
          <w:lang w:val="en-US" w:eastAsia="uk-UA"/>
        </w:rPr>
        <w:t xml:space="preserve">2022; </w:t>
      </w:r>
      <w:r w:rsidRPr="00810A97">
        <w:rPr>
          <w:rFonts w:eastAsia="Calibri"/>
          <w:sz w:val="20"/>
          <w:szCs w:val="20"/>
          <w:lang w:val="en-US"/>
        </w:rPr>
        <w:t xml:space="preserve">116 </w:t>
      </w:r>
      <w:r w:rsidRPr="00810A97">
        <w:rPr>
          <w:rFonts w:eastAsia="Calibri"/>
          <w:sz w:val="20"/>
          <w:szCs w:val="20"/>
          <w:lang w:val="en-US" w:eastAsia="uk-UA"/>
        </w:rPr>
        <w:t>p</w:t>
      </w:r>
      <w:r w:rsidRPr="00810A97">
        <w:rPr>
          <w:rFonts w:eastAsia="Calibri"/>
          <w:sz w:val="20"/>
          <w:szCs w:val="20"/>
          <w:lang w:val="en-US"/>
        </w:rPr>
        <w:t>.</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eastAsia="uk-UA"/>
        </w:rPr>
        <w:t xml:space="preserve">Vysochyna N, Zhembrovsky S, Kuvshinov O, et al. </w:t>
      </w:r>
      <w:r w:rsidRPr="00810A97">
        <w:rPr>
          <w:rFonts w:eastAsia="Calibri"/>
          <w:bCs/>
          <w:sz w:val="20"/>
          <w:szCs w:val="20"/>
        </w:rPr>
        <w:t>Psychological support of military personnel in the system of physical education and sports. Textbook</w:t>
      </w:r>
      <w:r w:rsidRPr="00810A97">
        <w:rPr>
          <w:rFonts w:eastAsia="Calibri"/>
          <w:sz w:val="20"/>
          <w:szCs w:val="20"/>
        </w:rPr>
        <w:t xml:space="preserve">. </w:t>
      </w:r>
      <w:r w:rsidRPr="00810A97">
        <w:rPr>
          <w:rFonts w:eastAsia="Calibri"/>
          <w:sz w:val="20"/>
          <w:szCs w:val="20"/>
          <w:lang w:val="en-US" w:eastAsia="uk-UA"/>
        </w:rPr>
        <w:t xml:space="preserve">Kyiv. NUOU. </w:t>
      </w:r>
      <w:r w:rsidRPr="00810A97">
        <w:rPr>
          <w:rFonts w:eastAsia="Calibri"/>
          <w:sz w:val="20"/>
          <w:szCs w:val="20"/>
          <w:lang w:val="en-US"/>
        </w:rPr>
        <w:t xml:space="preserve">2023; </w:t>
      </w:r>
      <w:r w:rsidRPr="00810A97">
        <w:rPr>
          <w:rFonts w:eastAsia="Calibri"/>
          <w:sz w:val="20"/>
          <w:szCs w:val="20"/>
          <w:lang w:val="en-US" w:eastAsia="uk-UA"/>
        </w:rPr>
        <w:t>100 p.</w:t>
      </w:r>
      <w:r w:rsidRPr="00810A97">
        <w:rPr>
          <w:rFonts w:eastAsia="Calibri"/>
          <w:sz w:val="20"/>
          <w:szCs w:val="20"/>
          <w:shd w:val="clear" w:color="auto" w:fill="FFFFFF"/>
          <w:lang w:val="en-US"/>
        </w:rPr>
        <w:t xml:space="preserve"> (in Ukrainian).</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rPr>
        <w:t>Petrachkov O, Yarmak O</w:t>
      </w:r>
      <w:r w:rsidRPr="00810A97">
        <w:rPr>
          <w:rFonts w:eastAsia="Calibri"/>
          <w:sz w:val="20"/>
          <w:szCs w:val="20"/>
          <w:lang w:val="en-US"/>
        </w:rPr>
        <w:t>.</w:t>
      </w:r>
      <w:r w:rsidRPr="00810A97">
        <w:rPr>
          <w:rFonts w:eastAsia="Calibri"/>
          <w:sz w:val="20"/>
          <w:szCs w:val="20"/>
        </w:rPr>
        <w:t xml:space="preserve"> Characteristics of physical fitness of operational level officers of the armed forces of Ukraine. </w:t>
      </w:r>
      <w:r w:rsidRPr="00810A97">
        <w:rPr>
          <w:rFonts w:eastAsia="Calibri"/>
          <w:sz w:val="20"/>
          <w:szCs w:val="20"/>
          <w:lang w:val="en-US"/>
        </w:rPr>
        <w:t xml:space="preserve">Teoriia i metodyka fizychnoho vykhovannia i sportu. 2023;3:49-55. URL: </w:t>
      </w:r>
      <w:hyperlink r:id="rId29" w:history="1">
        <w:r w:rsidRPr="00810A97">
          <w:rPr>
            <w:rFonts w:eastAsia="Calibri"/>
            <w:color w:val="0000FF"/>
            <w:sz w:val="20"/>
            <w:szCs w:val="20"/>
            <w:u w:val="single"/>
            <w:lang w:val="en-US"/>
          </w:rPr>
          <w:t>https://doi.org/10.32652/tmfvs.2023.3.49-55</w:t>
        </w:r>
      </w:hyperlink>
      <w:r w:rsidRPr="00810A97">
        <w:rPr>
          <w:rFonts w:eastAsia="Calibri"/>
          <w:sz w:val="20"/>
          <w:szCs w:val="20"/>
          <w:lang w:val="en-US"/>
        </w:rPr>
        <w:t xml:space="preserve"> </w:t>
      </w:r>
      <w:r w:rsidRPr="00810A97">
        <w:rPr>
          <w:rFonts w:eastAsia="Calibri"/>
          <w:sz w:val="20"/>
          <w:szCs w:val="20"/>
          <w:shd w:val="clear" w:color="auto" w:fill="FFFFFF"/>
          <w:lang w:val="en-US"/>
        </w:rPr>
        <w:t xml:space="preserve">(in Ukrainian). </w:t>
      </w:r>
    </w:p>
    <w:p w:rsidR="00810A97" w:rsidRPr="00810A97" w:rsidRDefault="00810A97" w:rsidP="00810A97">
      <w:pPr>
        <w:numPr>
          <w:ilvl w:val="0"/>
          <w:numId w:val="2"/>
        </w:numPr>
        <w:tabs>
          <w:tab w:val="left" w:pos="567"/>
        </w:tabs>
        <w:spacing w:after="0" w:line="240" w:lineRule="auto"/>
        <w:ind w:left="0" w:firstLine="0"/>
        <w:contextualSpacing/>
        <w:jc w:val="both"/>
        <w:rPr>
          <w:rFonts w:eastAsia="Calibri"/>
          <w:sz w:val="20"/>
          <w:szCs w:val="20"/>
          <w:lang w:eastAsia="uk-UA"/>
        </w:rPr>
      </w:pPr>
      <w:r w:rsidRPr="00810A97">
        <w:rPr>
          <w:rFonts w:eastAsia="Calibri"/>
          <w:sz w:val="20"/>
          <w:szCs w:val="20"/>
          <w:lang w:val="en-US"/>
        </w:rPr>
        <w:t xml:space="preserve">Barkov V, Verbin N, Zhembrovsky S, </w:t>
      </w:r>
      <w:r w:rsidRPr="00810A97">
        <w:rPr>
          <w:rFonts w:eastAsia="Calibri"/>
          <w:sz w:val="20"/>
          <w:szCs w:val="20"/>
          <w:lang w:val="en-US" w:eastAsia="uk-UA"/>
        </w:rPr>
        <w:t xml:space="preserve">et al. </w:t>
      </w:r>
      <w:r w:rsidRPr="00810A97">
        <w:rPr>
          <w:rFonts w:eastAsia="Calibri"/>
          <w:sz w:val="20"/>
          <w:szCs w:val="20"/>
          <w:lang w:val="en-US"/>
        </w:rPr>
        <w:t>Provision of Physical Training of Servicemen: a tutor’s manual.</w:t>
      </w:r>
      <w:r w:rsidRPr="00810A97">
        <w:rPr>
          <w:rFonts w:eastAsia="Calibri"/>
          <w:sz w:val="20"/>
          <w:szCs w:val="20"/>
          <w:lang w:val="en-US" w:eastAsia="uk-UA"/>
        </w:rPr>
        <w:t xml:space="preserve"> </w:t>
      </w:r>
      <w:r w:rsidRPr="00810A97">
        <w:rPr>
          <w:rFonts w:eastAsia="Calibri"/>
          <w:sz w:val="20"/>
          <w:szCs w:val="20"/>
          <w:lang w:val="en-US"/>
        </w:rPr>
        <w:t>Kiev. NUOU. 2016; 88 p.</w:t>
      </w:r>
      <w:r w:rsidRPr="00810A97">
        <w:rPr>
          <w:rFonts w:eastAsia="Calibri"/>
          <w:sz w:val="20"/>
          <w:szCs w:val="20"/>
        </w:rPr>
        <w:t xml:space="preserve"> </w:t>
      </w:r>
    </w:p>
    <w:p w:rsidR="00810A97" w:rsidRPr="00810A97" w:rsidRDefault="00810A97" w:rsidP="00810A97">
      <w:pPr>
        <w:autoSpaceDE w:val="0"/>
        <w:autoSpaceDN w:val="0"/>
        <w:adjustRightInd w:val="0"/>
        <w:spacing w:after="0" w:line="240" w:lineRule="auto"/>
        <w:ind w:left="2149"/>
        <w:jc w:val="both"/>
        <w:rPr>
          <w:sz w:val="20"/>
          <w:szCs w:val="20"/>
        </w:rPr>
      </w:pPr>
    </w:p>
    <w:tbl>
      <w:tblPr>
        <w:tblStyle w:val="a6"/>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810A97" w:rsidRPr="00810A97" w:rsidTr="00C07F42">
        <w:tc>
          <w:tcPr>
            <w:tcW w:w="9286" w:type="dxa"/>
            <w:tcBorders>
              <w:top w:val="nil"/>
              <w:left w:val="nil"/>
              <w:right w:val="nil"/>
            </w:tcBorders>
            <w:shd w:val="clear" w:color="auto" w:fill="BFBFBF" w:themeFill="background1" w:themeFillShade="BF"/>
            <w:hideMark/>
          </w:tcPr>
          <w:p w:rsidR="00810A97" w:rsidRPr="00810A97" w:rsidRDefault="00810A97" w:rsidP="00810A97">
            <w:pPr>
              <w:spacing w:beforeAutospacing="1" w:after="0" w:afterAutospacing="1" w:line="240" w:lineRule="auto"/>
              <w:jc w:val="both"/>
              <w:rPr>
                <w:b/>
                <w:sz w:val="20"/>
                <w:szCs w:val="20"/>
                <w:lang w:eastAsia="ru-RU"/>
              </w:rPr>
            </w:pPr>
            <w:r w:rsidRPr="00810A97">
              <w:rPr>
                <w:b/>
                <w:sz w:val="20"/>
                <w:szCs w:val="24"/>
                <w:lang w:eastAsia="ru-RU"/>
              </w:rPr>
              <w:t>Цитування на</w:t>
            </w:r>
            <w:r w:rsidRPr="00810A97">
              <w:rPr>
                <w:b/>
                <w:spacing w:val="2"/>
                <w:sz w:val="20"/>
                <w:szCs w:val="24"/>
                <w:lang w:eastAsia="ru-RU"/>
              </w:rPr>
              <w:t xml:space="preserve"> </w:t>
            </w:r>
            <w:r w:rsidRPr="00810A97">
              <w:rPr>
                <w:b/>
                <w:sz w:val="20"/>
                <w:szCs w:val="24"/>
                <w:lang w:eastAsia="ru-RU"/>
              </w:rPr>
              <w:t>цю статтю :</w:t>
            </w:r>
          </w:p>
        </w:tc>
      </w:tr>
      <w:tr w:rsidR="00810A97" w:rsidRPr="00810A97" w:rsidTr="00C07F42">
        <w:tc>
          <w:tcPr>
            <w:tcW w:w="9286" w:type="dxa"/>
            <w:tcBorders>
              <w:left w:val="nil"/>
              <w:right w:val="nil"/>
            </w:tcBorders>
            <w:hideMark/>
          </w:tcPr>
          <w:p w:rsidR="00810A97" w:rsidRPr="00810A97" w:rsidRDefault="00810A97" w:rsidP="00810A97">
            <w:pPr>
              <w:spacing w:after="0" w:line="240" w:lineRule="auto"/>
              <w:jc w:val="both"/>
              <w:rPr>
                <w:i/>
                <w:sz w:val="20"/>
                <w:szCs w:val="20"/>
                <w:lang w:bidi="en-US"/>
              </w:rPr>
            </w:pPr>
            <w:r w:rsidRPr="00810A97">
              <w:rPr>
                <w:bCs/>
                <w:sz w:val="20"/>
                <w:szCs w:val="20"/>
                <w:lang w:bidi="en-US"/>
              </w:rPr>
              <w:t>Петрачков О</w:t>
            </w:r>
            <w:r w:rsidRPr="00810A97">
              <w:rPr>
                <w:sz w:val="20"/>
                <w:szCs w:val="20"/>
                <w:lang w:bidi="en-US"/>
              </w:rPr>
              <w:t xml:space="preserve">. Структура та зміст моделі </w:t>
            </w:r>
            <w:r w:rsidRPr="00810A97">
              <w:rPr>
                <w:color w:val="000000"/>
                <w:sz w:val="20"/>
                <w:szCs w:val="20"/>
                <w:lang w:bidi="en-US"/>
              </w:rPr>
              <w:t>фізичної підготовки офіцерів оперативного рівня Збройних Сил України</w:t>
            </w:r>
            <w:r w:rsidRPr="00810A97">
              <w:rPr>
                <w:spacing w:val="-6"/>
                <w:sz w:val="20"/>
                <w:szCs w:val="20"/>
                <w:lang w:bidi="en-US"/>
              </w:rPr>
              <w:t xml:space="preserve">. </w:t>
            </w:r>
            <w:r w:rsidRPr="00810A97">
              <w:rPr>
                <w:sz w:val="20"/>
                <w:szCs w:val="20"/>
                <w:lang w:bidi="en-US"/>
              </w:rPr>
              <w:t xml:space="preserve">Вісник Прикарпатського університету. </w:t>
            </w:r>
            <w:r w:rsidRPr="00810A97">
              <w:rPr>
                <w:spacing w:val="-6"/>
                <w:sz w:val="20"/>
                <w:szCs w:val="20"/>
                <w:lang w:bidi="en-US"/>
              </w:rPr>
              <w:t>Серія: Фізична культура. 2026. Квітень 04; 46: 3-11</w:t>
            </w:r>
          </w:p>
        </w:tc>
      </w:tr>
    </w:tbl>
    <w:p w:rsidR="00810A97" w:rsidRPr="00810A97" w:rsidRDefault="00810A97" w:rsidP="00810A97">
      <w:pPr>
        <w:tabs>
          <w:tab w:val="left" w:pos="993"/>
          <w:tab w:val="left" w:pos="1134"/>
        </w:tabs>
        <w:spacing w:after="0" w:line="240" w:lineRule="auto"/>
        <w:jc w:val="both"/>
        <w:rPr>
          <w:sz w:val="20"/>
          <w:szCs w:val="20"/>
          <w:lang w:eastAsia="ru-RU"/>
        </w:rPr>
      </w:pPr>
    </w:p>
    <w:tbl>
      <w:tblPr>
        <w:tblStyle w:val="a6"/>
        <w:tblW w:w="9286" w:type="dxa"/>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810A97" w:rsidRPr="00810A97" w:rsidTr="00C07F42">
        <w:tc>
          <w:tcPr>
            <w:tcW w:w="9286" w:type="dxa"/>
            <w:shd w:val="clear" w:color="auto" w:fill="BFBFBF" w:themeFill="background1" w:themeFillShade="BF"/>
          </w:tcPr>
          <w:p w:rsidR="00810A97" w:rsidRPr="00810A97" w:rsidRDefault="00810A97" w:rsidP="00810A97">
            <w:pPr>
              <w:spacing w:after="0" w:line="240" w:lineRule="auto"/>
              <w:jc w:val="both"/>
              <w:rPr>
                <w:b/>
                <w:sz w:val="20"/>
                <w:szCs w:val="20"/>
                <w:lang w:eastAsia="ru-RU"/>
              </w:rPr>
            </w:pPr>
            <w:r w:rsidRPr="00810A97">
              <w:rPr>
                <w:b/>
                <w:sz w:val="20"/>
                <w:szCs w:val="20"/>
                <w:lang w:eastAsia="ru-RU"/>
              </w:rPr>
              <w:t>Відомості про авторів</w:t>
            </w:r>
          </w:p>
        </w:tc>
      </w:tr>
      <w:tr w:rsidR="00810A97" w:rsidRPr="00810A97" w:rsidTr="00C07F42">
        <w:trPr>
          <w:trHeight w:val="729"/>
        </w:trPr>
        <w:tc>
          <w:tcPr>
            <w:tcW w:w="9286" w:type="dxa"/>
          </w:tcPr>
          <w:p w:rsidR="00810A97" w:rsidRPr="00810A97" w:rsidRDefault="00810A97" w:rsidP="00810A97">
            <w:pPr>
              <w:spacing w:after="0" w:line="240" w:lineRule="auto"/>
              <w:jc w:val="both"/>
              <w:rPr>
                <w:sz w:val="20"/>
                <w:szCs w:val="20"/>
                <w:lang w:eastAsia="uk-UA" w:bidi="en-US"/>
              </w:rPr>
            </w:pPr>
            <w:r w:rsidRPr="00810A97">
              <w:rPr>
                <w:b/>
                <w:bCs/>
                <w:sz w:val="20"/>
                <w:szCs w:val="20"/>
                <w:lang w:bidi="en-US"/>
              </w:rPr>
              <w:t xml:space="preserve">Петрачков Олександр Валерійович - </w:t>
            </w:r>
            <w:r w:rsidRPr="00810A97">
              <w:rPr>
                <w:sz w:val="20"/>
                <w:szCs w:val="20"/>
                <w:lang w:bidi="en-US"/>
              </w:rPr>
              <w:t xml:space="preserve">кандидат педагогічних наук, професор, </w:t>
            </w:r>
            <w:r w:rsidRPr="00810A97">
              <w:rPr>
                <w:bCs/>
                <w:iCs/>
                <w:sz w:val="20"/>
                <w:szCs w:val="20"/>
                <w:lang w:bidi="en-US"/>
              </w:rPr>
              <w:t xml:space="preserve">заслужений працівник фізичної культури і спорту України, </w:t>
            </w:r>
            <w:r w:rsidRPr="00810A97">
              <w:rPr>
                <w:sz w:val="20"/>
                <w:szCs w:val="20"/>
                <w:lang w:bidi="en-US"/>
              </w:rPr>
              <w:t>начальник навчально-наукового інституту ф</w:t>
            </w:r>
            <w:r w:rsidRPr="00810A97">
              <w:rPr>
                <w:sz w:val="20"/>
                <w:szCs w:val="20"/>
                <w:lang w:eastAsia="uk-UA" w:bidi="en-US"/>
              </w:rPr>
              <w:t xml:space="preserve">ізичної культури та спортивно-оздоровчих технологій, </w:t>
            </w:r>
            <w:r w:rsidRPr="00810A97">
              <w:rPr>
                <w:sz w:val="20"/>
                <w:szCs w:val="20"/>
                <w:lang w:bidi="en-US"/>
              </w:rPr>
              <w:t>Національний університет оборони України (Київ, Україна)</w:t>
            </w:r>
          </w:p>
          <w:p w:rsidR="00810A97" w:rsidRPr="00810A97" w:rsidRDefault="003D6B4F" w:rsidP="00810A97">
            <w:pPr>
              <w:spacing w:after="0" w:line="240" w:lineRule="auto"/>
              <w:jc w:val="both"/>
              <w:rPr>
                <w:sz w:val="20"/>
                <w:szCs w:val="20"/>
                <w:lang w:bidi="en-US"/>
              </w:rPr>
            </w:pPr>
            <w:hyperlink r:id="rId30" w:history="1">
              <w:r w:rsidR="00810A97" w:rsidRPr="00810A97">
                <w:rPr>
                  <w:color w:val="0000FF"/>
                  <w:sz w:val="20"/>
                  <w:szCs w:val="20"/>
                  <w:u w:val="single"/>
                  <w:lang w:bidi="en-US"/>
                </w:rPr>
                <w:t>apetrachkov77@ukr.net</w:t>
              </w:r>
            </w:hyperlink>
          </w:p>
          <w:p w:rsidR="00810A97" w:rsidRPr="00810A97" w:rsidRDefault="00810A97" w:rsidP="00810A97">
            <w:pPr>
              <w:spacing w:before="60" w:after="0" w:line="200" w:lineRule="exact"/>
              <w:jc w:val="both"/>
              <w:rPr>
                <w:sz w:val="20"/>
                <w:szCs w:val="20"/>
                <w:shd w:val="clear" w:color="auto" w:fill="FFFFFF"/>
                <w:lang w:bidi="en-US"/>
              </w:rPr>
            </w:pPr>
            <w:r w:rsidRPr="00DA6CC0">
              <w:rPr>
                <w:rFonts w:eastAsia="Calibri"/>
                <w:bCs/>
                <w:sz w:val="20"/>
                <w:szCs w:val="20"/>
                <w:shd w:val="clear" w:color="auto" w:fill="FFFFFF"/>
                <w:lang w:bidi="en-US"/>
              </w:rPr>
              <w:t>https://orcid.org</w:t>
            </w:r>
            <w:r w:rsidRPr="00810A97">
              <w:rPr>
                <w:rFonts w:eastAsia="Calibri"/>
                <w:b/>
                <w:bCs/>
                <w:sz w:val="20"/>
                <w:szCs w:val="20"/>
                <w:shd w:val="clear" w:color="auto" w:fill="FFFFFF"/>
                <w:lang w:bidi="en-US"/>
              </w:rPr>
              <w:t>/</w:t>
            </w:r>
            <w:hyperlink r:id="rId31" w:history="1">
              <w:r w:rsidRPr="00810A97">
                <w:rPr>
                  <w:sz w:val="20"/>
                  <w:szCs w:val="20"/>
                  <w:lang w:bidi="en-US"/>
                </w:rPr>
                <w:t>0000-0002-2510-1209</w:t>
              </w:r>
            </w:hyperlink>
          </w:p>
        </w:tc>
      </w:tr>
    </w:tbl>
    <w:p w:rsidR="00810A97" w:rsidRPr="00810A97" w:rsidRDefault="00810A97" w:rsidP="00810A97">
      <w:pPr>
        <w:spacing w:after="0" w:line="360" w:lineRule="auto"/>
        <w:ind w:firstLine="284"/>
        <w:jc w:val="both"/>
        <w:rPr>
          <w:szCs w:val="24"/>
          <w:lang w:bidi="en-US"/>
        </w:rPr>
      </w:pPr>
    </w:p>
    <w:p w:rsidR="00810A97" w:rsidRPr="00810A97" w:rsidRDefault="00810A97" w:rsidP="00810A97">
      <w:pPr>
        <w:spacing w:after="0" w:line="240" w:lineRule="auto"/>
        <w:ind w:firstLine="284"/>
        <w:jc w:val="right"/>
        <w:rPr>
          <w:sz w:val="20"/>
          <w:szCs w:val="20"/>
          <w:shd w:val="clear" w:color="auto" w:fill="FFFFFF"/>
          <w:lang w:bidi="en-US"/>
        </w:rPr>
      </w:pPr>
      <w:r w:rsidRPr="00810A97">
        <w:rPr>
          <w:sz w:val="20"/>
          <w:szCs w:val="20"/>
          <w:shd w:val="clear" w:color="auto" w:fill="FFFFFF"/>
          <w:lang w:bidi="en-US"/>
        </w:rPr>
        <w:t>Дата першого надходження статті до видання: 16.04.2026</w:t>
      </w:r>
    </w:p>
    <w:p w:rsidR="00810A97" w:rsidRPr="00810A97" w:rsidRDefault="00810A97" w:rsidP="00810A97">
      <w:pPr>
        <w:spacing w:after="0" w:line="240" w:lineRule="auto"/>
        <w:ind w:firstLine="284"/>
        <w:jc w:val="right"/>
        <w:rPr>
          <w:sz w:val="20"/>
          <w:szCs w:val="20"/>
          <w:shd w:val="clear" w:color="auto" w:fill="FFFFFF"/>
          <w:lang w:bidi="en-US"/>
        </w:rPr>
      </w:pPr>
      <w:r w:rsidRPr="00810A97">
        <w:rPr>
          <w:sz w:val="20"/>
          <w:szCs w:val="20"/>
          <w:shd w:val="clear" w:color="auto" w:fill="FFFFFF"/>
          <w:lang w:bidi="en-US"/>
        </w:rPr>
        <w:t>Дата прийняття статті до друку після рецензування: 25.04.2026</w:t>
      </w:r>
    </w:p>
    <w:p w:rsidR="00810A97" w:rsidRPr="00810A97" w:rsidRDefault="00810A97" w:rsidP="00810A97">
      <w:pPr>
        <w:spacing w:after="0" w:line="240" w:lineRule="auto"/>
        <w:ind w:firstLine="284"/>
        <w:jc w:val="right"/>
        <w:rPr>
          <w:sz w:val="24"/>
          <w:szCs w:val="24"/>
          <w:lang w:bidi="en-US"/>
        </w:rPr>
      </w:pPr>
      <w:r w:rsidRPr="00810A97">
        <w:rPr>
          <w:sz w:val="20"/>
          <w:szCs w:val="20"/>
          <w:shd w:val="clear" w:color="auto" w:fill="FFFFFF"/>
          <w:lang w:bidi="en-US"/>
        </w:rPr>
        <w:t>Дата публікації (оприлюднення) статті: 27.04.2026</w:t>
      </w:r>
    </w:p>
    <w:p w:rsidR="00E32BE0" w:rsidRDefault="00E32BE0">
      <w:pPr>
        <w:spacing w:after="160" w:line="259" w:lineRule="auto"/>
        <w:rPr>
          <w:spacing w:val="-4"/>
          <w:sz w:val="18"/>
        </w:rPr>
      </w:pPr>
      <w:r>
        <w:rPr>
          <w:spacing w:val="-4"/>
          <w:sz w:val="18"/>
        </w:rPr>
        <w:br w:type="page"/>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E32BE0" w:rsidRPr="00E32BE0" w:rsidTr="00C07F42">
        <w:tc>
          <w:tcPr>
            <w:tcW w:w="3785" w:type="dxa"/>
          </w:tcPr>
          <w:p w:rsidR="00E32BE0" w:rsidRPr="00E32BE0" w:rsidRDefault="00E32BE0" w:rsidP="00E32BE0">
            <w:pPr>
              <w:spacing w:after="0" w:line="240" w:lineRule="auto"/>
              <w:rPr>
                <w:b/>
                <w:sz w:val="20"/>
                <w:szCs w:val="20"/>
                <w:lang w:val="en-US" w:eastAsia="uk-UA"/>
              </w:rPr>
            </w:pPr>
            <w:r w:rsidRPr="00E32BE0">
              <w:rPr>
                <w:b/>
                <w:sz w:val="20"/>
                <w:szCs w:val="20"/>
                <w:lang w:val="en-US" w:eastAsia="uk-UA"/>
              </w:rPr>
              <w:lastRenderedPageBreak/>
              <w:t>УДК 796.015.132:355.233</w:t>
            </w:r>
          </w:p>
          <w:p w:rsidR="00E32BE0" w:rsidRPr="00E32BE0" w:rsidRDefault="00E32BE0" w:rsidP="00E32BE0">
            <w:pPr>
              <w:spacing w:after="0" w:line="240" w:lineRule="auto"/>
              <w:rPr>
                <w:b/>
                <w:sz w:val="20"/>
                <w:szCs w:val="20"/>
                <w:lang w:eastAsia="uk-UA"/>
              </w:rPr>
            </w:pPr>
            <w:r w:rsidRPr="00E32BE0">
              <w:rPr>
                <w:b/>
                <w:sz w:val="20"/>
                <w:szCs w:val="20"/>
                <w:lang w:val="en-US" w:eastAsia="uk-UA"/>
              </w:rPr>
              <w:t xml:space="preserve">doi: </w:t>
            </w:r>
            <w:r w:rsidRPr="00E32BE0">
              <w:rPr>
                <w:rFonts w:eastAsia="SimSun"/>
                <w:b/>
                <w:kern w:val="1"/>
                <w:sz w:val="20"/>
                <w:szCs w:val="20"/>
                <w:lang w:val="en-US" w:eastAsia="zh-CN" w:bidi="hi-IN"/>
              </w:rPr>
              <w:t>10.15330/fcult.4</w:t>
            </w:r>
            <w:r w:rsidRPr="00E32BE0">
              <w:rPr>
                <w:rFonts w:eastAsia="SimSun"/>
                <w:b/>
                <w:kern w:val="1"/>
                <w:sz w:val="20"/>
                <w:szCs w:val="20"/>
                <w:lang w:eastAsia="zh-CN" w:bidi="hi-IN"/>
              </w:rPr>
              <w:t>6</w:t>
            </w:r>
            <w:r w:rsidRPr="00E32BE0">
              <w:rPr>
                <w:rFonts w:eastAsia="SimSun"/>
                <w:b/>
                <w:kern w:val="1"/>
                <w:sz w:val="20"/>
                <w:szCs w:val="20"/>
                <w:lang w:val="en-US" w:eastAsia="zh-CN" w:bidi="hi-IN"/>
              </w:rPr>
              <w:t>.</w:t>
            </w:r>
            <w:r w:rsidRPr="00E32BE0">
              <w:rPr>
                <w:rFonts w:eastAsia="SimSun"/>
                <w:b/>
                <w:kern w:val="1"/>
                <w:sz w:val="20"/>
                <w:szCs w:val="20"/>
                <w:lang w:eastAsia="zh-CN" w:bidi="hi-IN"/>
              </w:rPr>
              <w:t>12</w:t>
            </w:r>
            <w:r w:rsidRPr="00E32BE0">
              <w:rPr>
                <w:rFonts w:eastAsia="SimSun"/>
                <w:b/>
                <w:kern w:val="1"/>
                <w:sz w:val="20"/>
                <w:szCs w:val="20"/>
                <w:lang w:val="en-US" w:eastAsia="zh-CN" w:bidi="hi-IN"/>
              </w:rPr>
              <w:t>-</w:t>
            </w:r>
            <w:r w:rsidRPr="00E32BE0">
              <w:rPr>
                <w:rFonts w:eastAsia="SimSun"/>
                <w:b/>
                <w:kern w:val="1"/>
                <w:sz w:val="20"/>
                <w:szCs w:val="20"/>
                <w:lang w:eastAsia="zh-CN" w:bidi="hi-IN"/>
              </w:rPr>
              <w:t>23</w:t>
            </w:r>
          </w:p>
        </w:tc>
        <w:tc>
          <w:tcPr>
            <w:tcW w:w="5501" w:type="dxa"/>
          </w:tcPr>
          <w:p w:rsidR="00E32BE0" w:rsidRPr="00E32BE0" w:rsidRDefault="00E32BE0" w:rsidP="00E32BE0">
            <w:pPr>
              <w:spacing w:after="0" w:line="240" w:lineRule="auto"/>
              <w:jc w:val="right"/>
              <w:rPr>
                <w:b/>
                <w:i/>
                <w:sz w:val="20"/>
                <w:szCs w:val="20"/>
                <w:lang w:eastAsia="uk-UA"/>
              </w:rPr>
            </w:pPr>
            <w:r w:rsidRPr="00E32BE0">
              <w:rPr>
                <w:b/>
                <w:i/>
                <w:sz w:val="20"/>
                <w:szCs w:val="20"/>
                <w:lang w:eastAsia="uk-UA"/>
              </w:rPr>
              <w:t>Орест Лойко, Оксана Матвейко, Віктор Букрєєв</w:t>
            </w:r>
          </w:p>
        </w:tc>
      </w:tr>
    </w:tbl>
    <w:p w:rsidR="00E32BE0" w:rsidRPr="00E32BE0" w:rsidRDefault="00E32BE0" w:rsidP="00E32BE0">
      <w:pPr>
        <w:spacing w:after="0" w:line="240" w:lineRule="auto"/>
        <w:jc w:val="center"/>
        <w:rPr>
          <w:rFonts w:eastAsia="SimSun"/>
          <w:b/>
          <w:bCs/>
          <w:sz w:val="24"/>
          <w:szCs w:val="24"/>
          <w:lang w:val="ru-RU" w:eastAsia="zh-CN"/>
        </w:rPr>
      </w:pPr>
    </w:p>
    <w:p w:rsidR="00E32BE0" w:rsidRPr="00E32BE0" w:rsidRDefault="00E32BE0" w:rsidP="00E32BE0">
      <w:pPr>
        <w:spacing w:after="0" w:line="240" w:lineRule="auto"/>
        <w:jc w:val="center"/>
        <w:rPr>
          <w:rFonts w:eastAsia="SimSun"/>
          <w:b/>
          <w:bCs/>
          <w:sz w:val="24"/>
          <w:szCs w:val="24"/>
          <w:lang w:val="ru-RU" w:eastAsia="zh-CN"/>
        </w:rPr>
      </w:pPr>
      <w:r w:rsidRPr="00E32BE0">
        <w:rPr>
          <w:rFonts w:eastAsia="SimSun"/>
          <w:b/>
          <w:bCs/>
          <w:sz w:val="24"/>
          <w:szCs w:val="24"/>
          <w:lang w:val="ru-RU" w:eastAsia="zh-CN"/>
        </w:rPr>
        <w:t>ВПЛИВ ПРОГРАМИ САМОСТІЙНИХ ТРЕНУВАНЬ ТА РЕЙТИНГОВОЇ МОТИВАЦІЇ НА РЕЗУЛЬТАТИ ВИКОНАННЯ ВПРАВИ № 20 У КУРСАНТІВ ВИЩОГО ВІЙСЬКОВОГО НАВЧАЛЬНОГО ЗАКЛАДУ</w:t>
      </w:r>
    </w:p>
    <w:p w:rsidR="00E32BE0" w:rsidRPr="00E32BE0" w:rsidRDefault="00E32BE0" w:rsidP="00E32BE0">
      <w:pPr>
        <w:spacing w:after="0" w:line="240" w:lineRule="auto"/>
        <w:jc w:val="center"/>
        <w:rPr>
          <w:rFonts w:eastAsia="SimSun"/>
          <w:b/>
          <w:bCs/>
          <w:sz w:val="24"/>
          <w:szCs w:val="24"/>
          <w:lang w:val="ru-RU" w:eastAsia="zh-CN"/>
        </w:rPr>
      </w:pPr>
    </w:p>
    <w:p w:rsidR="00E32BE0" w:rsidRPr="00E32BE0" w:rsidRDefault="00E32BE0" w:rsidP="00E32BE0">
      <w:pPr>
        <w:spacing w:after="0" w:line="240" w:lineRule="auto"/>
        <w:ind w:firstLine="709"/>
        <w:jc w:val="both"/>
        <w:rPr>
          <w:rFonts w:eastAsia="SimSun"/>
          <w:sz w:val="20"/>
          <w:szCs w:val="20"/>
          <w:lang w:eastAsia="zh-CN"/>
        </w:rPr>
      </w:pPr>
      <w:r w:rsidRPr="00E32BE0">
        <w:rPr>
          <w:rFonts w:eastAsia="SimSun"/>
          <w:b/>
          <w:sz w:val="20"/>
          <w:szCs w:val="20"/>
          <w:lang w:eastAsia="zh-CN"/>
        </w:rPr>
        <w:t>Анотація</w:t>
      </w:r>
      <w:r w:rsidRPr="00E32BE0">
        <w:rPr>
          <w:rFonts w:eastAsia="SimSun"/>
          <w:b/>
          <w:sz w:val="20"/>
          <w:szCs w:val="20"/>
          <w:lang w:val="ru-RU" w:eastAsia="zh-CN"/>
        </w:rPr>
        <w:t xml:space="preserve">. </w:t>
      </w:r>
      <w:r w:rsidRPr="00E32BE0">
        <w:rPr>
          <w:rFonts w:eastAsia="SimSun"/>
          <w:b/>
          <w:sz w:val="20"/>
          <w:szCs w:val="20"/>
          <w:lang w:eastAsia="zh-CN"/>
        </w:rPr>
        <w:t>Мета</w:t>
      </w:r>
      <w:r w:rsidRPr="00E32BE0">
        <w:rPr>
          <w:rFonts w:eastAsia="SimSun"/>
          <w:sz w:val="20"/>
          <w:szCs w:val="20"/>
          <w:lang w:eastAsia="zh-CN"/>
        </w:rPr>
        <w:t xml:space="preserve"> – визначити ефективність програми самостійних тренувань курсантів із використанням відеоінструктажу та рейтингової системи мотивації для покращення результатів виконання вправи №20. </w:t>
      </w:r>
      <w:r w:rsidRPr="00E32BE0">
        <w:rPr>
          <w:rFonts w:eastAsia="SimSun"/>
          <w:b/>
          <w:sz w:val="20"/>
          <w:szCs w:val="20"/>
          <w:lang w:eastAsia="zh-CN"/>
        </w:rPr>
        <w:t>Матеріал і методи</w:t>
      </w:r>
      <w:r w:rsidRPr="00E32BE0">
        <w:rPr>
          <w:rFonts w:eastAsia="SimSun"/>
          <w:sz w:val="20"/>
          <w:szCs w:val="20"/>
          <w:lang w:eastAsia="zh-CN"/>
        </w:rPr>
        <w:t xml:space="preserve">. Аналіз науково-методичної літератури, педагогічне спостереження, анкетування, тестування фізичної підготовленості, методи математичної статистики. У дослідженні взяли участь 104 курсанти військового навчального підрозділу. </w:t>
      </w:r>
      <w:r w:rsidRPr="00E32BE0">
        <w:rPr>
          <w:rFonts w:eastAsia="SimSun"/>
          <w:b/>
          <w:sz w:val="20"/>
          <w:szCs w:val="20"/>
          <w:lang w:eastAsia="zh-CN"/>
        </w:rPr>
        <w:t>Результати</w:t>
      </w:r>
      <w:r w:rsidRPr="00E32BE0">
        <w:rPr>
          <w:rFonts w:eastAsia="SimSun"/>
          <w:sz w:val="20"/>
          <w:szCs w:val="20"/>
          <w:lang w:eastAsia="zh-CN"/>
        </w:rPr>
        <w:t xml:space="preserve">. Результати опитування показали, що впровадження рейтингової системи та використання відеоінструктажу позитивно вплинули на тренувальну активність курсантів. Зокрема, 88,5% опитаних зазначили збільшення частоти самостійних тренувань, а 89,4% курсантів відзначили позитивний вплив відеоінструктажу на розуміння техніки виконання вправи. Інтегральний показник ефективності програми (Program Impact Index) становив 72,1%, що свідчить про високий рівень ефективності запропонованого підходу. </w:t>
      </w:r>
      <w:r w:rsidRPr="00E32BE0">
        <w:rPr>
          <w:rFonts w:eastAsia="SimSun"/>
          <w:b/>
          <w:sz w:val="20"/>
          <w:szCs w:val="20"/>
          <w:lang w:eastAsia="zh-CN"/>
        </w:rPr>
        <w:t>Висновок</w:t>
      </w:r>
      <w:r w:rsidRPr="00E32BE0">
        <w:rPr>
          <w:rFonts w:eastAsia="SimSun"/>
          <w:sz w:val="20"/>
          <w:szCs w:val="20"/>
          <w:lang w:eastAsia="zh-CN"/>
        </w:rPr>
        <w:t>. Результати підтверджують доцільність використання комплексних педагогічних та мотиваційних інструментів у системі фізичної підготовки курсантів та відкривають перспективи подальшого впровадження цифрових технологій контролю виконання фізичних вправ у військових навчальних підрозділах.</w:t>
      </w:r>
    </w:p>
    <w:p w:rsidR="00E32BE0" w:rsidRPr="00E32BE0" w:rsidRDefault="00E32BE0" w:rsidP="00E32BE0">
      <w:pPr>
        <w:spacing w:after="0" w:line="240" w:lineRule="auto"/>
        <w:ind w:firstLine="709"/>
        <w:jc w:val="both"/>
        <w:outlineLvl w:val="0"/>
        <w:rPr>
          <w:rFonts w:eastAsia="SimSun"/>
          <w:sz w:val="20"/>
          <w:szCs w:val="20"/>
          <w:lang w:eastAsia="zh-CN"/>
        </w:rPr>
      </w:pPr>
      <w:r w:rsidRPr="00E32BE0">
        <w:rPr>
          <w:rFonts w:eastAsia="SimSun"/>
          <w:b/>
          <w:bCs/>
          <w:kern w:val="44"/>
          <w:sz w:val="20"/>
          <w:szCs w:val="20"/>
          <w:lang w:eastAsia="zh-CN"/>
        </w:rPr>
        <w:t>Ключові слова:</w:t>
      </w:r>
      <w:r w:rsidRPr="00E32BE0">
        <w:rPr>
          <w:rFonts w:eastAsia="SimSun"/>
          <w:bCs/>
          <w:kern w:val="44"/>
          <w:sz w:val="20"/>
          <w:szCs w:val="20"/>
          <w:lang w:eastAsia="zh-CN"/>
        </w:rPr>
        <w:t xml:space="preserve"> </w:t>
      </w:r>
      <w:r w:rsidRPr="00E32BE0">
        <w:rPr>
          <w:rFonts w:eastAsia="SimSun"/>
          <w:sz w:val="20"/>
          <w:szCs w:val="20"/>
          <w:lang w:eastAsia="zh-CN"/>
        </w:rPr>
        <w:t>фізична підготовка, курсанти, самостійні тренування, мотивація до тренувань, рейтинг фізичної підготовленості, відеоінструктаж, цифровий контроль тренувань</w:t>
      </w:r>
    </w:p>
    <w:p w:rsidR="00E32BE0" w:rsidRPr="00E32BE0" w:rsidRDefault="00E32BE0" w:rsidP="00E32BE0">
      <w:pPr>
        <w:spacing w:after="0" w:line="240" w:lineRule="auto"/>
        <w:ind w:firstLine="709"/>
        <w:jc w:val="both"/>
        <w:rPr>
          <w:rFonts w:eastAsia="SimSun"/>
          <w:b/>
          <w:bCs/>
          <w:sz w:val="24"/>
          <w:szCs w:val="24"/>
          <w:lang w:eastAsia="zh-CN"/>
        </w:rPr>
      </w:pPr>
    </w:p>
    <w:p w:rsidR="00E32BE0" w:rsidRPr="00E32BE0" w:rsidRDefault="00E32BE0" w:rsidP="00E32BE0">
      <w:pPr>
        <w:spacing w:after="0" w:line="240" w:lineRule="auto"/>
        <w:ind w:firstLine="709"/>
        <w:jc w:val="both"/>
        <w:rPr>
          <w:rFonts w:eastAsia="SimSun"/>
          <w:sz w:val="20"/>
          <w:szCs w:val="20"/>
          <w:lang w:val="en-US" w:eastAsia="zh-CN"/>
        </w:rPr>
      </w:pPr>
      <w:r w:rsidRPr="00E32BE0">
        <w:rPr>
          <w:rFonts w:eastAsia="SimSun"/>
          <w:b/>
          <w:sz w:val="20"/>
          <w:szCs w:val="20"/>
          <w:lang w:val="en-US" w:eastAsia="zh-CN"/>
        </w:rPr>
        <w:t>Summary</w:t>
      </w:r>
      <w:r w:rsidRPr="00E32BE0">
        <w:rPr>
          <w:rFonts w:eastAsia="SimSun"/>
          <w:sz w:val="20"/>
          <w:szCs w:val="20"/>
          <w:lang w:val="en-US" w:eastAsia="zh-CN"/>
        </w:rPr>
        <w:t xml:space="preserve">. </w:t>
      </w:r>
      <w:r w:rsidRPr="00E32BE0">
        <w:rPr>
          <w:i/>
          <w:iCs/>
          <w:sz w:val="20"/>
          <w:szCs w:val="20"/>
          <w:lang w:val="en-US" w:eastAsia="zh-CN"/>
        </w:rPr>
        <w:t>Objective of the study</w:t>
      </w:r>
      <w:r w:rsidRPr="00E32BE0">
        <w:rPr>
          <w:i/>
          <w:iCs/>
          <w:sz w:val="20"/>
          <w:szCs w:val="20"/>
          <w:lang w:eastAsia="zh-CN"/>
        </w:rPr>
        <w:t>.</w:t>
      </w:r>
      <w:r w:rsidRPr="00E32BE0">
        <w:rPr>
          <w:sz w:val="20"/>
          <w:szCs w:val="20"/>
          <w:lang w:val="en-US" w:eastAsia="zh-CN"/>
        </w:rPr>
        <w:t xml:space="preserve"> </w:t>
      </w:r>
      <w:r w:rsidRPr="00E32BE0">
        <w:rPr>
          <w:rFonts w:eastAsia="SimSun"/>
          <w:sz w:val="20"/>
          <w:szCs w:val="20"/>
          <w:lang w:val="en-US" w:eastAsia="zh-CN"/>
        </w:rPr>
        <w:t xml:space="preserve">To investigate the effectiveness of a independent training program of cadets using video instruction and a rating system as motivation to improve the results in exercise No. 20 (push-ups). </w:t>
      </w:r>
      <w:r w:rsidRPr="00E32BE0">
        <w:rPr>
          <w:i/>
          <w:iCs/>
          <w:sz w:val="20"/>
          <w:szCs w:val="20"/>
          <w:lang w:val="en-US" w:eastAsia="zh-CN"/>
        </w:rPr>
        <w:t>Methods and study design</w:t>
      </w:r>
      <w:r w:rsidRPr="00E32BE0">
        <w:rPr>
          <w:sz w:val="20"/>
          <w:szCs w:val="20"/>
          <w:lang w:val="en-US" w:eastAsia="zh-CN"/>
        </w:rPr>
        <w:t>. Content-analysis of scientific and methodological resourses, pedagogical observation, questionnaires, physical fitness testing, mathematical statistics. The study involved</w:t>
      </w:r>
      <w:r w:rsidRPr="00E32BE0">
        <w:rPr>
          <w:rFonts w:eastAsia="SimSun"/>
          <w:sz w:val="20"/>
          <w:szCs w:val="20"/>
          <w:lang w:val="en-US" w:eastAsia="zh-CN"/>
        </w:rPr>
        <w:t xml:space="preserve"> 104 cadets from a military unit. The program included a complex of interconnected pedagogical and motivational tools, such as video instruction of an exercise technique, a rating system displaying cadets’ results on the institution’ information screen, and methodological recommendations for organizing independent training during a four-week training cycle.</w:t>
      </w:r>
      <w:r w:rsidRPr="00E32BE0">
        <w:rPr>
          <w:rFonts w:eastAsia="SimSun"/>
          <w:sz w:val="20"/>
          <w:szCs w:val="20"/>
          <w:lang w:eastAsia="zh-CN"/>
        </w:rPr>
        <w:t xml:space="preserve"> </w:t>
      </w:r>
      <w:r w:rsidRPr="00E32BE0">
        <w:rPr>
          <w:rFonts w:eastAsia="SimSun"/>
          <w:sz w:val="20"/>
          <w:szCs w:val="20"/>
          <w:lang w:val="en-US" w:eastAsia="zh-CN"/>
        </w:rPr>
        <w:t>The effectiveness of the program was evaluated using a questionnaire survey designed to determine the level of motivation for training, the clarity of the training methodology, the influence of video instruction on mastering the exercise technique, and the subjective assessment of changes in physical fitness.</w:t>
      </w:r>
      <w:r w:rsidRPr="00E32BE0">
        <w:rPr>
          <w:rFonts w:eastAsia="SimSun"/>
          <w:sz w:val="20"/>
          <w:szCs w:val="20"/>
          <w:lang w:eastAsia="zh-CN"/>
        </w:rPr>
        <w:t xml:space="preserve"> </w:t>
      </w:r>
      <w:r w:rsidRPr="00E32BE0">
        <w:rPr>
          <w:rFonts w:eastAsia="SimSun"/>
          <w:i/>
          <w:sz w:val="20"/>
          <w:szCs w:val="20"/>
          <w:lang w:val="en-US" w:eastAsia="zh-CN"/>
        </w:rPr>
        <w:t>The results</w:t>
      </w:r>
      <w:r w:rsidRPr="00E32BE0">
        <w:rPr>
          <w:rFonts w:eastAsia="SimSun"/>
          <w:sz w:val="20"/>
          <w:szCs w:val="20"/>
          <w:lang w:val="en-US" w:eastAsia="zh-CN"/>
        </w:rPr>
        <w:t xml:space="preserve"> of the study showed that the implementation of the rating system and the using of video instruction had a positive impact on cadets’ training activity. In particular, 88</w:t>
      </w:r>
      <w:r w:rsidRPr="00E32BE0">
        <w:rPr>
          <w:rFonts w:eastAsia="SimSun"/>
          <w:sz w:val="20"/>
          <w:szCs w:val="20"/>
          <w:lang w:eastAsia="zh-CN"/>
        </w:rPr>
        <w:t>,</w:t>
      </w:r>
      <w:r w:rsidRPr="00E32BE0">
        <w:rPr>
          <w:rFonts w:eastAsia="SimSun"/>
          <w:sz w:val="20"/>
          <w:szCs w:val="20"/>
          <w:lang w:val="en-US" w:eastAsia="zh-CN"/>
        </w:rPr>
        <w:t>5% of cadets reported an increase in the frequency of independent training sessions, while 89</w:t>
      </w:r>
      <w:r w:rsidRPr="00E32BE0">
        <w:rPr>
          <w:rFonts w:eastAsia="SimSun"/>
          <w:sz w:val="20"/>
          <w:szCs w:val="20"/>
          <w:lang w:eastAsia="zh-CN"/>
        </w:rPr>
        <w:t>,</w:t>
      </w:r>
      <w:r w:rsidRPr="00E32BE0">
        <w:rPr>
          <w:rFonts w:eastAsia="SimSun"/>
          <w:sz w:val="20"/>
          <w:szCs w:val="20"/>
          <w:lang w:val="en-US" w:eastAsia="zh-CN"/>
        </w:rPr>
        <w:t>4% of cadets noted that video instruction improved their understanding of the correct exercise technique. The integral indicator of program effectiveness (Program Impact Index) reached 72</w:t>
      </w:r>
      <w:r w:rsidRPr="00E32BE0">
        <w:rPr>
          <w:rFonts w:eastAsia="SimSun"/>
          <w:sz w:val="20"/>
          <w:szCs w:val="20"/>
          <w:lang w:eastAsia="zh-CN"/>
        </w:rPr>
        <w:t>,</w:t>
      </w:r>
      <w:r w:rsidRPr="00E32BE0">
        <w:rPr>
          <w:rFonts w:eastAsia="SimSun"/>
          <w:sz w:val="20"/>
          <w:szCs w:val="20"/>
          <w:lang w:val="en-US" w:eastAsia="zh-CN"/>
        </w:rPr>
        <w:t xml:space="preserve">1%, indicating a high level of effectiveness of the proposed approach. </w:t>
      </w:r>
      <w:r w:rsidRPr="00E32BE0">
        <w:rPr>
          <w:rFonts w:eastAsia="SimSun"/>
          <w:i/>
          <w:sz w:val="20"/>
          <w:szCs w:val="20"/>
          <w:lang w:val="en-US" w:eastAsia="zh-CN"/>
        </w:rPr>
        <w:t>Conclusion</w:t>
      </w:r>
      <w:r w:rsidRPr="00E32BE0">
        <w:rPr>
          <w:rFonts w:eastAsia="SimSun"/>
          <w:sz w:val="20"/>
          <w:szCs w:val="20"/>
          <w:lang w:val="en-US" w:eastAsia="zh-CN"/>
        </w:rPr>
        <w:t>. The obtained results confirm the feasibility of using complex pedagogical and motivational tools in the system of physical training of cadets and highlight the prospects for further implementation of digital technologies for monitoring physical exercises in military training units.</w:t>
      </w:r>
    </w:p>
    <w:p w:rsidR="00E32BE0" w:rsidRPr="00E32BE0" w:rsidRDefault="00E32BE0" w:rsidP="00E32BE0">
      <w:pPr>
        <w:spacing w:after="0" w:line="240" w:lineRule="auto"/>
        <w:ind w:firstLine="709"/>
        <w:jc w:val="both"/>
        <w:rPr>
          <w:rFonts w:eastAsia="SimSun"/>
          <w:sz w:val="20"/>
          <w:szCs w:val="20"/>
          <w:lang w:val="en-US" w:eastAsia="zh-CN"/>
        </w:rPr>
      </w:pPr>
      <w:r w:rsidRPr="00E32BE0">
        <w:rPr>
          <w:rFonts w:eastAsia="SimSun"/>
          <w:b/>
          <w:bCs/>
          <w:sz w:val="20"/>
          <w:szCs w:val="20"/>
          <w:lang w:val="en-US" w:eastAsia="zh-CN"/>
        </w:rPr>
        <w:t>Keywords</w:t>
      </w:r>
      <w:r w:rsidRPr="00E32BE0">
        <w:rPr>
          <w:rFonts w:eastAsia="SimSun"/>
          <w:sz w:val="20"/>
          <w:szCs w:val="20"/>
          <w:lang w:val="en-US" w:eastAsia="zh-CN"/>
        </w:rPr>
        <w:t>: physical training, cadets, independent training, training motivation, physical fitness rating, video instruction, digital training monitoring</w:t>
      </w:r>
    </w:p>
    <w:p w:rsidR="00E32BE0" w:rsidRPr="00E32BE0" w:rsidRDefault="00E32BE0" w:rsidP="00E32BE0">
      <w:pPr>
        <w:spacing w:after="0" w:line="240" w:lineRule="auto"/>
        <w:ind w:firstLine="709"/>
        <w:jc w:val="both"/>
        <w:rPr>
          <w:b/>
          <w:bCs/>
          <w:sz w:val="24"/>
          <w:szCs w:val="24"/>
          <w:lang w:val="en-US" w:eastAsia="zh-CN"/>
        </w:rPr>
      </w:pPr>
    </w:p>
    <w:p w:rsidR="00E32BE0" w:rsidRPr="00E32BE0" w:rsidRDefault="00E32BE0" w:rsidP="00E32BE0">
      <w:pPr>
        <w:spacing w:after="0" w:line="240" w:lineRule="auto"/>
        <w:ind w:firstLine="709"/>
        <w:jc w:val="both"/>
        <w:rPr>
          <w:rFonts w:eastAsia="SimSun"/>
          <w:sz w:val="24"/>
          <w:szCs w:val="24"/>
          <w:lang w:val="ru-RU" w:eastAsia="zh-CN"/>
        </w:rPr>
      </w:pPr>
      <w:r w:rsidRPr="00E32BE0">
        <w:rPr>
          <w:b/>
          <w:bCs/>
          <w:sz w:val="24"/>
          <w:szCs w:val="24"/>
          <w:lang w:val="ru-RU" w:eastAsia="zh-CN"/>
        </w:rPr>
        <w:t>Постановка проблеми й аналіз результатів останніх досліджень</w:t>
      </w:r>
      <w:r w:rsidRPr="00E32BE0">
        <w:rPr>
          <w:sz w:val="24"/>
          <w:szCs w:val="24"/>
          <w:lang w:val="ru-RU" w:eastAsia="zh-CN"/>
        </w:rPr>
        <w:t xml:space="preserve">. </w:t>
      </w:r>
      <w:r w:rsidRPr="00E32BE0">
        <w:rPr>
          <w:rFonts w:eastAsia="SimSun"/>
          <w:sz w:val="24"/>
          <w:szCs w:val="24"/>
          <w:lang w:val="ru-RU" w:eastAsia="zh-CN"/>
        </w:rPr>
        <w:t>Фізична підготовка є важливою складовою професійної підготовки військовослужбовців. Вона забезпечує розвиток фізичних якостей, необхідних для ефективного виконання службових завдань. Одним із ключових показників рівня фізичної підготовленості військовослужбовців є силова витривалість.</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У системі фізичної підготовки Збройних Сил України для оцінювання силової витривалості широко використовується вправа №20 –згинання та розгинання рук в упорі лежачи. Ця вправа дозволяє оцінити рівень розвитку м’язів верхнього плечового пояса та загальну фізичну підготовленість військовослужбовців [</w:t>
      </w:r>
      <w:r w:rsidR="003D6B4F">
        <w:fldChar w:fldCharType="begin"/>
      </w:r>
      <w:r w:rsidR="003D6B4F">
        <w:instrText xml:space="preserve"> REF _Ref225091746 \r \h  \* MERGEFORMAT </w:instrText>
      </w:r>
      <w:r w:rsidR="003D6B4F">
        <w:fldChar w:fldCharType="separate"/>
      </w:r>
      <w:r w:rsidRPr="00E32BE0">
        <w:t>1</w:t>
      </w:r>
      <w:r w:rsidR="003D6B4F">
        <w:fldChar w:fldCharType="end"/>
      </w:r>
      <w:r w:rsidRPr="00E32BE0">
        <w:rPr>
          <w:rFonts w:eastAsia="SimSun"/>
          <w:sz w:val="24"/>
          <w:szCs w:val="24"/>
          <w:lang w:val="ru-RU" w:eastAsia="zh-CN"/>
        </w:rPr>
        <w:t>].</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Разом із тим сучасні умови підготовки військовослужбовців вимагають пошуку нових підходів до організації фізичної підготовки, зокрема використання методів самостійних тренувань, цифрових технологій навчання та мотиваційних механізмів [</w:t>
      </w:r>
      <w:r w:rsidR="003D6B4F">
        <w:fldChar w:fldCharType="begin"/>
      </w:r>
      <w:r w:rsidR="003D6B4F">
        <w:instrText xml:space="preserve"> REF _Ref225091751 \r \h  \* MERGEFORMAT </w:instrText>
      </w:r>
      <w:r w:rsidR="003D6B4F">
        <w:fldChar w:fldCharType="separate"/>
      </w:r>
      <w:r w:rsidRPr="00E32BE0">
        <w:t>2</w:t>
      </w:r>
      <w:r w:rsidR="003D6B4F">
        <w:fldChar w:fldCharType="end"/>
      </w:r>
      <w:r w:rsidRPr="00E32BE0">
        <w:rPr>
          <w:rFonts w:eastAsia="SimSun"/>
          <w:sz w:val="24"/>
          <w:szCs w:val="24"/>
          <w:lang w:val="ru-RU" w:eastAsia="zh-CN"/>
        </w:rPr>
        <w:t>].</w:t>
      </w:r>
    </w:p>
    <w:p w:rsidR="002D495E" w:rsidRPr="005457EE" w:rsidRDefault="002D495E" w:rsidP="00E32BE0">
      <w:pPr>
        <w:framePr w:w="9346" w:h="683" w:hRule="exact" w:wrap="auto" w:vAnchor="page" w:hAnchor="page" w:x="1606" w:y="15324"/>
        <w:ind w:left="33" w:right="-1"/>
        <w:rPr>
          <w:sz w:val="20"/>
          <w:szCs w:val="20"/>
          <w:lang w:val="ru-RU"/>
        </w:rPr>
      </w:pPr>
    </w:p>
    <w:p w:rsidR="00E32BE0" w:rsidRPr="00E32BE0" w:rsidRDefault="00E32BE0" w:rsidP="00E32BE0">
      <w:pPr>
        <w:framePr w:w="9346" w:h="683" w:hRule="exact" w:wrap="auto" w:vAnchor="page" w:hAnchor="page" w:x="1606" w:y="15324"/>
        <w:ind w:left="33" w:right="-1"/>
        <w:rPr>
          <w:sz w:val="20"/>
          <w:szCs w:val="20"/>
          <w:lang w:val="ru-RU"/>
        </w:rPr>
      </w:pPr>
      <w:r w:rsidRPr="00E32BE0">
        <w:rPr>
          <w:sz w:val="20"/>
          <w:szCs w:val="20"/>
          <w:lang w:val="ru-RU"/>
        </w:rPr>
        <w:t xml:space="preserve">© </w:t>
      </w:r>
      <w:r w:rsidRPr="00E32BE0">
        <w:rPr>
          <w:bCs/>
          <w:iCs/>
          <w:sz w:val="20"/>
          <w:szCs w:val="20"/>
          <w:lang w:val="ru-RU"/>
        </w:rPr>
        <w:t>Лойко О., Матвейко О., Букрєєв В</w:t>
      </w:r>
      <w:r w:rsidRPr="00E32BE0">
        <w:rPr>
          <w:sz w:val="20"/>
          <w:szCs w:val="20"/>
          <w:lang w:val="ru-RU" w:eastAsia="uk-UA"/>
        </w:rPr>
        <w:t>.,</w:t>
      </w:r>
      <w:r w:rsidRPr="00E32BE0">
        <w:rPr>
          <w:spacing w:val="1"/>
          <w:sz w:val="20"/>
          <w:szCs w:val="20"/>
          <w:lang w:val="ru-RU"/>
        </w:rPr>
        <w:t xml:space="preserve"> 2026</w:t>
      </w:r>
      <w:r w:rsidRPr="00E32BE0">
        <w:rPr>
          <w:spacing w:val="1"/>
          <w:sz w:val="20"/>
          <w:szCs w:val="20"/>
          <w:lang w:val="ru-RU"/>
        </w:rPr>
        <w:tab/>
      </w:r>
      <w:r>
        <w:rPr>
          <w:spacing w:val="1"/>
          <w:sz w:val="20"/>
          <w:szCs w:val="20"/>
          <w:lang w:val="ru-RU"/>
        </w:rPr>
        <w:tab/>
        <w:t xml:space="preserve"> </w:t>
      </w:r>
      <w:r w:rsidRPr="00E32BE0">
        <w:rPr>
          <w:spacing w:val="1"/>
          <w:sz w:val="20"/>
          <w:szCs w:val="20"/>
          <w:lang w:val="ru-RU"/>
        </w:rPr>
        <w:t xml:space="preserve">Увесь контент ліцензовано за умовами СС </w:t>
      </w:r>
      <w:r w:rsidRPr="00E32BE0">
        <w:rPr>
          <w:spacing w:val="1"/>
          <w:sz w:val="20"/>
          <w:szCs w:val="20"/>
          <w:lang w:val="en-US"/>
        </w:rPr>
        <w:t>BY</w:t>
      </w:r>
      <w:r w:rsidRPr="00E32BE0">
        <w:rPr>
          <w:spacing w:val="1"/>
          <w:sz w:val="20"/>
          <w:szCs w:val="20"/>
          <w:lang w:val="ru-RU"/>
        </w:rPr>
        <w:t xml:space="preserve"> 4.0</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Проблеми фізичної підготовки військовослужбовців широко досліджуються у працях вітчизняних і зарубіжних учених. Значний внесок у розвиток теоретичних і методичних основ фізичної підготовки військовослужбовців зробили О. Лойко [</w:t>
      </w:r>
      <w:r w:rsidR="003D6B4F">
        <w:fldChar w:fldCharType="begin"/>
      </w:r>
      <w:r w:rsidR="003D6B4F">
        <w:instrText xml:space="preserve"> REF _Ref225091759 \r \h  \</w:instrText>
      </w:r>
      <w:r w:rsidR="003D6B4F">
        <w:instrText xml:space="preserve">* MERGEFORMAT </w:instrText>
      </w:r>
      <w:r w:rsidR="003D6B4F">
        <w:fldChar w:fldCharType="separate"/>
      </w:r>
      <w:r w:rsidRPr="00E32BE0">
        <w:t>3</w:t>
      </w:r>
      <w:r w:rsidR="003D6B4F">
        <w:fldChar w:fldCharType="end"/>
      </w:r>
      <w:r w:rsidRPr="00E32BE0">
        <w:rPr>
          <w:rFonts w:eastAsia="SimSun"/>
          <w:sz w:val="24"/>
          <w:szCs w:val="24"/>
          <w:lang w:val="ru-RU" w:eastAsia="zh-CN"/>
        </w:rPr>
        <w:t xml:space="preserve">], С. Романчук </w:t>
      </w:r>
      <w:r w:rsidRPr="00E32BE0">
        <w:rPr>
          <w:rFonts w:eastAsia="SimSun"/>
          <w:sz w:val="24"/>
          <w:szCs w:val="24"/>
          <w:lang w:eastAsia="zh-CN"/>
        </w:rPr>
        <w:t>зі співав.</w:t>
      </w:r>
      <w:r w:rsidRPr="00E32BE0">
        <w:rPr>
          <w:rFonts w:eastAsia="SimSun"/>
          <w:sz w:val="24"/>
          <w:szCs w:val="24"/>
          <w:lang w:val="ru-RU" w:eastAsia="zh-CN"/>
        </w:rPr>
        <w:t xml:space="preserve"> [</w:t>
      </w:r>
      <w:r w:rsidR="003D6B4F">
        <w:fldChar w:fldCharType="begin"/>
      </w:r>
      <w:r w:rsidR="003D6B4F">
        <w:instrText xml:space="preserve"> REF _Ref225091766 \r \h  \* MERGEFORMAT </w:instrText>
      </w:r>
      <w:r w:rsidR="003D6B4F">
        <w:fldChar w:fldCharType="separate"/>
      </w:r>
      <w:r w:rsidRPr="00E32BE0">
        <w:t>4</w:t>
      </w:r>
      <w:r w:rsidR="003D6B4F">
        <w:fldChar w:fldCharType="end"/>
      </w:r>
      <w:r w:rsidRPr="00E32BE0">
        <w:rPr>
          <w:rFonts w:eastAsia="SimSun"/>
          <w:sz w:val="24"/>
          <w:szCs w:val="24"/>
          <w:lang w:val="ru-RU" w:eastAsia="zh-CN"/>
        </w:rPr>
        <w:t>,</w:t>
      </w:r>
      <w:r w:rsidR="003D6B4F">
        <w:fldChar w:fldCharType="begin"/>
      </w:r>
      <w:r w:rsidR="003D6B4F">
        <w:instrText xml:space="preserve"> REF _Ref225091778 \r \h  \* MERGEFOR</w:instrText>
      </w:r>
      <w:r w:rsidR="003D6B4F">
        <w:instrText xml:space="preserve">MAT </w:instrText>
      </w:r>
      <w:r w:rsidR="003D6B4F">
        <w:fldChar w:fldCharType="separate"/>
      </w:r>
      <w:r w:rsidRPr="00E32BE0">
        <w:t>5</w:t>
      </w:r>
      <w:r w:rsidR="003D6B4F">
        <w:fldChar w:fldCharType="end"/>
      </w:r>
      <w:r w:rsidRPr="00E32BE0">
        <w:rPr>
          <w:rFonts w:eastAsia="SimSun"/>
          <w:sz w:val="24"/>
          <w:szCs w:val="24"/>
          <w:lang w:val="ru-RU" w:eastAsia="zh-CN"/>
        </w:rPr>
        <w:t>,</w:t>
      </w:r>
      <w:r w:rsidR="003D6B4F">
        <w:fldChar w:fldCharType="begin"/>
      </w:r>
      <w:r w:rsidR="003D6B4F">
        <w:instrText xml:space="preserve"> REF _Ref225091795 \r \h  \* MERGEFORMAT </w:instrText>
      </w:r>
      <w:r w:rsidR="003D6B4F">
        <w:fldChar w:fldCharType="separate"/>
      </w:r>
      <w:r w:rsidRPr="00E32BE0">
        <w:t>6</w:t>
      </w:r>
      <w:r w:rsidR="003D6B4F">
        <w:fldChar w:fldCharType="end"/>
      </w:r>
      <w:r w:rsidRPr="00E32BE0">
        <w:rPr>
          <w:rFonts w:eastAsia="SimSun"/>
          <w:sz w:val="24"/>
          <w:szCs w:val="24"/>
          <w:lang w:val="ru-RU" w:eastAsia="zh-CN"/>
        </w:rPr>
        <w:t>,</w:t>
      </w:r>
      <w:r w:rsidR="003D6B4F">
        <w:fldChar w:fldCharType="begin"/>
      </w:r>
      <w:r w:rsidR="003D6B4F">
        <w:instrText xml:space="preserve"> REF _Ref225091807 \r \h  \* MERGEFORMAT </w:instrText>
      </w:r>
      <w:r w:rsidR="003D6B4F">
        <w:fldChar w:fldCharType="separate"/>
      </w:r>
      <w:r w:rsidRPr="00E32BE0">
        <w:t>7</w:t>
      </w:r>
      <w:r w:rsidR="003D6B4F">
        <w:fldChar w:fldCharType="end"/>
      </w:r>
      <w:r w:rsidRPr="00E32BE0">
        <w:rPr>
          <w:rFonts w:eastAsia="SimSun"/>
          <w:sz w:val="24"/>
          <w:szCs w:val="24"/>
          <w:lang w:val="ru-RU" w:eastAsia="zh-CN"/>
        </w:rPr>
        <w:t>], Є. А</w:t>
      </w:r>
      <w:r w:rsidRPr="00E32BE0">
        <w:rPr>
          <w:rFonts w:eastAsia="SimSun"/>
          <w:sz w:val="24"/>
          <w:szCs w:val="24"/>
          <w:lang w:eastAsia="zh-CN"/>
        </w:rPr>
        <w:t>н</w:t>
      </w:r>
      <w:r w:rsidRPr="00E32BE0">
        <w:rPr>
          <w:rFonts w:eastAsia="SimSun"/>
          <w:sz w:val="24"/>
          <w:szCs w:val="24"/>
          <w:lang w:val="ru-RU" w:eastAsia="zh-CN"/>
        </w:rPr>
        <w:t>охін зі співав. [</w:t>
      </w:r>
      <w:r w:rsidR="003D6B4F">
        <w:fldChar w:fldCharType="begin"/>
      </w:r>
      <w:r w:rsidR="003D6B4F">
        <w:instrText xml:space="preserve"> REF _Ref225091817 \r \h  \* MERGEFORMAT </w:instrText>
      </w:r>
      <w:r w:rsidR="003D6B4F">
        <w:fldChar w:fldCharType="separate"/>
      </w:r>
      <w:r w:rsidRPr="00E32BE0">
        <w:t>8</w:t>
      </w:r>
      <w:r w:rsidR="003D6B4F">
        <w:fldChar w:fldCharType="end"/>
      </w:r>
      <w:r w:rsidRPr="00E32BE0">
        <w:rPr>
          <w:rFonts w:eastAsia="SimSun"/>
          <w:sz w:val="24"/>
          <w:szCs w:val="24"/>
          <w:lang w:val="ru-RU" w:eastAsia="zh-CN"/>
        </w:rPr>
        <w:t>].</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 xml:space="preserve">Зарубіжні дослідження </w:t>
      </w:r>
      <w:r w:rsidRPr="00E32BE0">
        <w:rPr>
          <w:rFonts w:eastAsia="SimSun"/>
          <w:sz w:val="24"/>
          <w:szCs w:val="24"/>
          <w:lang w:val="en-US" w:eastAsia="zh-CN"/>
        </w:rPr>
        <w:t>C</w:t>
      </w:r>
      <w:r w:rsidRPr="00E32BE0">
        <w:rPr>
          <w:rFonts w:eastAsia="SimSun"/>
          <w:sz w:val="24"/>
          <w:szCs w:val="24"/>
          <w:lang w:val="ru-RU" w:eastAsia="zh-CN"/>
        </w:rPr>
        <w:t xml:space="preserve">. </w:t>
      </w:r>
      <w:r w:rsidRPr="00E32BE0">
        <w:rPr>
          <w:rFonts w:eastAsia="SimSun"/>
          <w:sz w:val="24"/>
          <w:szCs w:val="24"/>
          <w:lang w:val="en-US" w:eastAsia="zh-CN"/>
        </w:rPr>
        <w:t>Smith</w:t>
      </w:r>
      <w:r w:rsidRPr="00E32BE0">
        <w:rPr>
          <w:rFonts w:eastAsia="SimSun"/>
          <w:sz w:val="24"/>
          <w:szCs w:val="24"/>
          <w:lang w:eastAsia="zh-CN"/>
        </w:rPr>
        <w:t xml:space="preserve"> </w:t>
      </w:r>
      <w:r w:rsidRPr="00E32BE0">
        <w:rPr>
          <w:rFonts w:eastAsia="SimSun"/>
          <w:sz w:val="24"/>
          <w:szCs w:val="24"/>
          <w:lang w:val="en-US" w:eastAsia="zh-CN"/>
        </w:rPr>
        <w:t>et</w:t>
      </w:r>
      <w:r w:rsidRPr="00E32BE0">
        <w:rPr>
          <w:rFonts w:eastAsia="SimSun"/>
          <w:sz w:val="24"/>
          <w:szCs w:val="24"/>
          <w:lang w:val="ru-RU" w:eastAsia="zh-CN"/>
        </w:rPr>
        <w:t xml:space="preserve"> </w:t>
      </w:r>
      <w:r w:rsidRPr="00E32BE0">
        <w:rPr>
          <w:rFonts w:eastAsia="SimSun"/>
          <w:sz w:val="24"/>
          <w:szCs w:val="24"/>
          <w:lang w:val="en-US" w:eastAsia="zh-CN"/>
        </w:rPr>
        <w:t>al</w:t>
      </w:r>
      <w:r w:rsidRPr="00E32BE0">
        <w:rPr>
          <w:rFonts w:eastAsia="SimSun"/>
          <w:sz w:val="24"/>
          <w:szCs w:val="24"/>
          <w:lang w:val="ru-RU" w:eastAsia="zh-CN"/>
        </w:rPr>
        <w:t>. [</w:t>
      </w:r>
      <w:r w:rsidR="003D6B4F">
        <w:fldChar w:fldCharType="begin"/>
      </w:r>
      <w:r w:rsidR="003D6B4F">
        <w:instrText xml:space="preserve"> REF _Ref225091824 \r \h  \* MERGEFORMAT </w:instrText>
      </w:r>
      <w:r w:rsidR="003D6B4F">
        <w:fldChar w:fldCharType="separate"/>
      </w:r>
      <w:r w:rsidRPr="00E32BE0">
        <w:t>9</w:t>
      </w:r>
      <w:r w:rsidR="003D6B4F">
        <w:fldChar w:fldCharType="end"/>
      </w:r>
      <w:r w:rsidRPr="00E32BE0">
        <w:rPr>
          <w:rFonts w:eastAsia="SimSun"/>
          <w:sz w:val="24"/>
          <w:szCs w:val="24"/>
          <w:lang w:val="ru-RU" w:eastAsia="zh-CN"/>
        </w:rPr>
        <w:t xml:space="preserve">], </w:t>
      </w:r>
      <w:r w:rsidRPr="00E32BE0">
        <w:rPr>
          <w:rFonts w:eastAsia="SimSun"/>
          <w:sz w:val="24"/>
          <w:szCs w:val="24"/>
          <w:lang w:val="en-US" w:eastAsia="zh-CN"/>
        </w:rPr>
        <w:t>K</w:t>
      </w:r>
      <w:r w:rsidRPr="00E32BE0">
        <w:rPr>
          <w:rFonts w:eastAsia="SimSun"/>
          <w:sz w:val="24"/>
          <w:szCs w:val="24"/>
          <w:lang w:val="ru-RU" w:eastAsia="zh-CN"/>
        </w:rPr>
        <w:t>.</w:t>
      </w:r>
      <w:r w:rsidRPr="00E32BE0">
        <w:rPr>
          <w:rFonts w:eastAsia="SimSun"/>
          <w:sz w:val="24"/>
          <w:szCs w:val="24"/>
          <w:lang w:val="en-US" w:eastAsia="zh-CN"/>
        </w:rPr>
        <w:t> Newman</w:t>
      </w:r>
      <w:r w:rsidRPr="00E32BE0">
        <w:rPr>
          <w:rFonts w:eastAsia="SimSun"/>
          <w:sz w:val="24"/>
          <w:szCs w:val="24"/>
          <w:lang w:val="ru-RU" w:eastAsia="zh-CN"/>
        </w:rPr>
        <w:t xml:space="preserve"> </w:t>
      </w:r>
      <w:r w:rsidRPr="00E32BE0">
        <w:rPr>
          <w:rFonts w:eastAsia="SimSun"/>
          <w:sz w:val="24"/>
          <w:szCs w:val="24"/>
          <w:lang w:val="en-US" w:eastAsia="zh-CN"/>
        </w:rPr>
        <w:t>et</w:t>
      </w:r>
      <w:r w:rsidRPr="00E32BE0">
        <w:rPr>
          <w:rFonts w:eastAsia="SimSun"/>
          <w:sz w:val="24"/>
          <w:szCs w:val="24"/>
          <w:lang w:val="ru-RU" w:eastAsia="zh-CN"/>
        </w:rPr>
        <w:t xml:space="preserve"> </w:t>
      </w:r>
      <w:r w:rsidRPr="00E32BE0">
        <w:rPr>
          <w:rFonts w:eastAsia="SimSun"/>
          <w:sz w:val="24"/>
          <w:szCs w:val="24"/>
          <w:lang w:val="en-US" w:eastAsia="zh-CN"/>
        </w:rPr>
        <w:t>al</w:t>
      </w:r>
      <w:r w:rsidRPr="00E32BE0">
        <w:rPr>
          <w:rFonts w:eastAsia="SimSun"/>
          <w:sz w:val="24"/>
          <w:szCs w:val="24"/>
          <w:lang w:val="ru-RU" w:eastAsia="zh-CN"/>
        </w:rPr>
        <w:t>. [</w:t>
      </w:r>
      <w:r w:rsidR="003D6B4F">
        <w:fldChar w:fldCharType="begin"/>
      </w:r>
      <w:r w:rsidR="003D6B4F">
        <w:instrText xml:space="preserve"> REF _Ref225091833 \r \h  \* MERGEFORMAT </w:instrText>
      </w:r>
      <w:r w:rsidR="003D6B4F">
        <w:fldChar w:fldCharType="separate"/>
      </w:r>
      <w:r w:rsidRPr="00E32BE0">
        <w:rPr>
          <w:rFonts w:eastAsia="SimSun"/>
          <w:sz w:val="24"/>
          <w:szCs w:val="24"/>
          <w:lang w:val="ru-RU" w:eastAsia="zh-CN"/>
        </w:rPr>
        <w:t>10</w:t>
      </w:r>
      <w:r w:rsidR="003D6B4F">
        <w:fldChar w:fldCharType="end"/>
      </w:r>
      <w:r w:rsidRPr="00E32BE0">
        <w:rPr>
          <w:rFonts w:eastAsia="SimSun"/>
          <w:sz w:val="24"/>
          <w:szCs w:val="24"/>
          <w:lang w:val="ru-RU" w:eastAsia="zh-CN"/>
        </w:rPr>
        <w:t xml:space="preserve">], </w:t>
      </w:r>
      <w:r w:rsidRPr="00E32BE0">
        <w:rPr>
          <w:rFonts w:eastAsia="SimSun"/>
          <w:sz w:val="24"/>
          <w:szCs w:val="24"/>
          <w:lang w:val="en-US" w:eastAsia="zh-CN"/>
        </w:rPr>
        <w:t>W</w:t>
      </w:r>
      <w:r w:rsidRPr="00E32BE0">
        <w:rPr>
          <w:rFonts w:eastAsia="SimSun"/>
          <w:sz w:val="24"/>
          <w:szCs w:val="24"/>
          <w:lang w:val="ru-RU" w:eastAsia="zh-CN"/>
        </w:rPr>
        <w:t>.</w:t>
      </w:r>
      <w:r w:rsidRPr="00E32BE0">
        <w:rPr>
          <w:rFonts w:eastAsia="SimSun"/>
          <w:sz w:val="24"/>
          <w:szCs w:val="24"/>
          <w:lang w:val="en-US" w:eastAsia="zh-CN"/>
        </w:rPr>
        <w:t> Kraemer</w:t>
      </w:r>
      <w:r w:rsidRPr="00E32BE0">
        <w:rPr>
          <w:rFonts w:eastAsia="SimSun"/>
          <w:sz w:val="24"/>
          <w:szCs w:val="24"/>
          <w:lang w:eastAsia="zh-CN"/>
        </w:rPr>
        <w:t xml:space="preserve">, </w:t>
      </w:r>
      <w:r w:rsidRPr="00E32BE0">
        <w:rPr>
          <w:rFonts w:eastAsia="SimSun"/>
          <w:sz w:val="24"/>
          <w:szCs w:val="24"/>
          <w:lang w:val="en-US" w:eastAsia="zh-CN"/>
        </w:rPr>
        <w:t>N</w:t>
      </w:r>
      <w:r w:rsidRPr="00E32BE0">
        <w:rPr>
          <w:rFonts w:eastAsia="SimSun"/>
          <w:sz w:val="24"/>
          <w:szCs w:val="24"/>
          <w:lang w:val="ru-RU" w:eastAsia="zh-CN"/>
        </w:rPr>
        <w:t>.</w:t>
      </w:r>
      <w:r w:rsidRPr="00E32BE0">
        <w:rPr>
          <w:rFonts w:eastAsia="SimSun"/>
          <w:sz w:val="24"/>
          <w:szCs w:val="24"/>
          <w:lang w:val="en-US" w:eastAsia="zh-CN"/>
        </w:rPr>
        <w:t> Ratamess</w:t>
      </w:r>
      <w:r w:rsidRPr="00E32BE0">
        <w:rPr>
          <w:rFonts w:eastAsia="SimSun"/>
          <w:sz w:val="24"/>
          <w:szCs w:val="24"/>
          <w:lang w:val="ru-RU" w:eastAsia="zh-CN"/>
        </w:rPr>
        <w:t xml:space="preserve"> [</w:t>
      </w:r>
      <w:r w:rsidR="003D6B4F">
        <w:fldChar w:fldCharType="begin"/>
      </w:r>
      <w:r w:rsidR="003D6B4F">
        <w:instrText xml:space="preserve"> REF _Ref225091878 \r \h  \* M</w:instrText>
      </w:r>
      <w:r w:rsidR="003D6B4F">
        <w:instrText xml:space="preserve">ERGEFORMAT </w:instrText>
      </w:r>
      <w:r w:rsidR="003D6B4F">
        <w:fldChar w:fldCharType="separate"/>
      </w:r>
      <w:r w:rsidRPr="00E32BE0">
        <w:rPr>
          <w:rFonts w:eastAsia="SimSun"/>
          <w:sz w:val="24"/>
          <w:szCs w:val="24"/>
          <w:lang w:val="ru-RU" w:eastAsia="zh-CN"/>
        </w:rPr>
        <w:t>11</w:t>
      </w:r>
      <w:r w:rsidR="003D6B4F">
        <w:fldChar w:fldCharType="end"/>
      </w:r>
      <w:r w:rsidRPr="00E32BE0">
        <w:rPr>
          <w:rFonts w:eastAsia="SimSun"/>
          <w:sz w:val="24"/>
          <w:szCs w:val="24"/>
          <w:lang w:val="ru-RU" w:eastAsia="zh-CN"/>
        </w:rPr>
        <w:t>] свідчать, що систематичні силові тренування та вправи з власною вагою тіла ефективно сприяють розвитку силової витривалості та підвищенню фізичної працездатності військовослужбовців.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Водночас недостатньо дослідженими залишаються питання використання цифрових інструментів мотивації та самостійних тренувальних програм у системі фізичної підготовки курсантів.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Сучасні дослідження [</w:t>
      </w:r>
      <w:r w:rsidR="003D6B4F">
        <w:fldChar w:fldCharType="begin"/>
      </w:r>
      <w:r w:rsidR="003D6B4F">
        <w:instrText xml:space="preserve"> REF _Ref225091888 \r \h  \* MERGEFORMAT </w:instrText>
      </w:r>
      <w:r w:rsidR="003D6B4F">
        <w:fldChar w:fldCharType="separate"/>
      </w:r>
      <w:r w:rsidRPr="00E32BE0">
        <w:rPr>
          <w:rFonts w:eastAsia="SimSun"/>
          <w:sz w:val="24"/>
          <w:szCs w:val="24"/>
          <w:lang w:val="ru-RU" w:eastAsia="zh-CN"/>
        </w:rPr>
        <w:t>12</w:t>
      </w:r>
      <w:r w:rsidR="003D6B4F">
        <w:fldChar w:fldCharType="end"/>
      </w:r>
      <w:r w:rsidRPr="00E32BE0">
        <w:rPr>
          <w:rFonts w:eastAsia="SimSun"/>
          <w:sz w:val="24"/>
          <w:szCs w:val="24"/>
          <w:lang w:val="ru-RU" w:eastAsia="zh-CN"/>
        </w:rPr>
        <w:t>,</w:t>
      </w:r>
      <w:r w:rsidR="003D6B4F">
        <w:fldChar w:fldCharType="begin"/>
      </w:r>
      <w:r w:rsidR="003D6B4F">
        <w:instrText xml:space="preserve"> REF _Ref225091899 \r \h  \* MERGEFORMAT </w:instrText>
      </w:r>
      <w:r w:rsidR="003D6B4F">
        <w:fldChar w:fldCharType="separate"/>
      </w:r>
      <w:r w:rsidRPr="00E32BE0">
        <w:rPr>
          <w:rFonts w:eastAsia="SimSun"/>
          <w:sz w:val="24"/>
          <w:szCs w:val="24"/>
          <w:lang w:val="ru-RU" w:eastAsia="zh-CN"/>
        </w:rPr>
        <w:t>13</w:t>
      </w:r>
      <w:r w:rsidR="003D6B4F">
        <w:fldChar w:fldCharType="end"/>
      </w:r>
      <w:r w:rsidRPr="00E32BE0">
        <w:rPr>
          <w:rFonts w:eastAsia="SimSun"/>
          <w:sz w:val="24"/>
          <w:szCs w:val="24"/>
          <w:lang w:val="ru-RU" w:eastAsia="zh-CN"/>
        </w:rPr>
        <w:t>,</w:t>
      </w:r>
      <w:r w:rsidR="003D6B4F">
        <w:fldChar w:fldCharType="begin"/>
      </w:r>
      <w:r w:rsidR="003D6B4F">
        <w:instrText xml:space="preserve"> REF _Ref225091907 \r \h  \* MERGEFORMAT </w:instrText>
      </w:r>
      <w:r w:rsidR="003D6B4F">
        <w:fldChar w:fldCharType="separate"/>
      </w:r>
      <w:r w:rsidRPr="00E32BE0">
        <w:rPr>
          <w:rFonts w:eastAsia="SimSun"/>
          <w:sz w:val="24"/>
          <w:szCs w:val="24"/>
          <w:lang w:val="ru-RU" w:eastAsia="zh-CN"/>
        </w:rPr>
        <w:t>14</w:t>
      </w:r>
      <w:r w:rsidR="003D6B4F">
        <w:fldChar w:fldCharType="end"/>
      </w:r>
      <w:r w:rsidRPr="00E32BE0">
        <w:rPr>
          <w:rFonts w:eastAsia="SimSun"/>
          <w:sz w:val="24"/>
          <w:szCs w:val="24"/>
          <w:lang w:val="ru-RU" w:eastAsia="zh-CN"/>
        </w:rPr>
        <w:t>] у сфері фізичної підготовки військовослужбовців підкреслюють важливість розвитку силової витривалості та функціональної сили як ключових компонентів професійної готовності військових. Вправи з використанням власної ваги тіла, зокрема згинання та розгинання рук в упорі лежачи, широко застосовуються у системах фізичної підготовки різних країн, оскільки дозволяють ефективно оцінювати рівень розвитку м’язів верхнього плечового пояса та загальну фізичну витривалість. Дослідники [</w:t>
      </w:r>
      <w:r w:rsidR="003D6B4F">
        <w:fldChar w:fldCharType="begin"/>
      </w:r>
      <w:r w:rsidR="003D6B4F">
        <w:instrText xml:space="preserve"> REF _Ref225091899 \r \h  \* MERGEFORMAT </w:instrText>
      </w:r>
      <w:r w:rsidR="003D6B4F">
        <w:fldChar w:fldCharType="separate"/>
      </w:r>
      <w:r w:rsidRPr="00E32BE0">
        <w:rPr>
          <w:rFonts w:eastAsia="SimSun"/>
          <w:sz w:val="24"/>
          <w:szCs w:val="24"/>
          <w:lang w:val="ru-RU" w:eastAsia="zh-CN"/>
        </w:rPr>
        <w:t>13</w:t>
      </w:r>
      <w:r w:rsidR="003D6B4F">
        <w:fldChar w:fldCharType="end"/>
      </w:r>
      <w:r w:rsidRPr="00E32BE0">
        <w:rPr>
          <w:rFonts w:eastAsia="SimSun"/>
          <w:sz w:val="24"/>
          <w:szCs w:val="24"/>
          <w:lang w:val="ru-RU" w:eastAsia="zh-CN"/>
        </w:rPr>
        <w:t>,</w:t>
      </w:r>
      <w:r w:rsidR="003D6B4F">
        <w:fldChar w:fldCharType="begin"/>
      </w:r>
      <w:r w:rsidR="003D6B4F">
        <w:instrText xml:space="preserve"> REF _Ref225091907 \r \h  \* MERGEFORMAT </w:instrText>
      </w:r>
      <w:r w:rsidR="003D6B4F">
        <w:fldChar w:fldCharType="separate"/>
      </w:r>
      <w:r w:rsidRPr="00E32BE0">
        <w:rPr>
          <w:rFonts w:eastAsia="SimSun"/>
          <w:sz w:val="24"/>
          <w:szCs w:val="24"/>
          <w:lang w:val="ru-RU" w:eastAsia="zh-CN"/>
        </w:rPr>
        <w:t>14</w:t>
      </w:r>
      <w:r w:rsidR="003D6B4F">
        <w:fldChar w:fldCharType="end"/>
      </w:r>
      <w:r w:rsidRPr="00E32BE0">
        <w:rPr>
          <w:rFonts w:eastAsia="SimSun"/>
          <w:sz w:val="24"/>
          <w:szCs w:val="24"/>
          <w:lang w:val="ru-RU" w:eastAsia="zh-CN"/>
        </w:rPr>
        <w:t>] зазначають, що систематичні тренувальні програми, побудовані на принципі поступового збільшення навантаження та регулярного контролю результатів, сприяють суттєвому покращенню фізичної підготовленості військовослужбовців і підвищенню їх функціональної працездатності.</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Водночас у сучасних підходах до організації фізичної підготовки все більшого значення набувають мотиваційні та цифрові інструменти, спрямовані на підвищення залученості військовослужбовців до тренувального процесу. Використання рейтингових систем оцінювання результатів, наочних форм зворотного зв’язку та відеоінструктажу техніки виконання вправ сприяє підвищенню мотивації до тренувань і покращує якість засвоєння рухових дій. У працях сучасних дослідників [</w:t>
      </w:r>
      <w:r w:rsidR="003D6B4F">
        <w:fldChar w:fldCharType="begin"/>
      </w:r>
      <w:r w:rsidR="003D6B4F">
        <w:instrText xml:space="preserve"> REF _Ref225091795 \r \h  \* MERGEFORMAT </w:instrText>
      </w:r>
      <w:r w:rsidR="003D6B4F">
        <w:fldChar w:fldCharType="separate"/>
      </w:r>
      <w:r w:rsidRPr="00E32BE0">
        <w:t>6</w:t>
      </w:r>
      <w:r w:rsidR="003D6B4F">
        <w:fldChar w:fldCharType="end"/>
      </w:r>
      <w:r w:rsidRPr="00E32BE0">
        <w:rPr>
          <w:rFonts w:eastAsia="SimSun"/>
          <w:sz w:val="24"/>
          <w:szCs w:val="24"/>
          <w:lang w:val="ru-RU" w:eastAsia="zh-CN"/>
        </w:rPr>
        <w:t>,</w:t>
      </w:r>
      <w:r w:rsidR="003D6B4F">
        <w:fldChar w:fldCharType="begin"/>
      </w:r>
      <w:r w:rsidR="003D6B4F">
        <w:instrText xml:space="preserve"> REF _Ref225091980 \r \h  \* MERGEFORMAT </w:instrText>
      </w:r>
      <w:r w:rsidR="003D6B4F">
        <w:fldChar w:fldCharType="separate"/>
      </w:r>
      <w:r w:rsidRPr="00E32BE0">
        <w:rPr>
          <w:rFonts w:eastAsia="SimSun"/>
          <w:sz w:val="24"/>
          <w:szCs w:val="24"/>
          <w:lang w:val="ru-RU" w:eastAsia="zh-CN"/>
        </w:rPr>
        <w:t>15</w:t>
      </w:r>
      <w:r w:rsidR="003D6B4F">
        <w:fldChar w:fldCharType="end"/>
      </w:r>
      <w:r w:rsidRPr="00E32BE0">
        <w:rPr>
          <w:rFonts w:eastAsia="SimSun"/>
          <w:sz w:val="24"/>
          <w:szCs w:val="24"/>
          <w:lang w:val="ru-RU" w:eastAsia="zh-CN"/>
        </w:rPr>
        <w:t>] спортивної педагогіки підкреслюється, що поєднання традиційних методів фізичного тренування з цифровими засобами навчання дозволяє підвищити ефективність тренувального процесу та сприяє формуванню стійких навичок виконання фізичних вправ.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Разом із тим питання ефективності поєднання програм самостійних тренувань із рейтинговими мотиваційними механізмами та використанням цифрових засобів навчання у фізичній підготовці курсантів військових навчальних закладів залишається недостатньо дослідженим.</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b/>
          <w:bCs/>
          <w:sz w:val="24"/>
          <w:szCs w:val="24"/>
          <w:lang w:val="ru-RU" w:eastAsia="zh-CN"/>
        </w:rPr>
        <w:t xml:space="preserve">Мета дослідження – </w:t>
      </w:r>
      <w:r w:rsidRPr="00E32BE0">
        <w:rPr>
          <w:rFonts w:eastAsia="SimSun"/>
          <w:sz w:val="24"/>
          <w:szCs w:val="24"/>
          <w:lang w:val="ru-RU" w:eastAsia="zh-CN"/>
        </w:rPr>
        <w:t>визначити ефективність програми самостійних тренувань курсантів із використанням відеоінструктажу та рейтингової системи мотивації для покращення результатів виконання вправи №20.</w:t>
      </w:r>
    </w:p>
    <w:p w:rsidR="00E32BE0" w:rsidRPr="00E32BE0" w:rsidRDefault="00E32BE0" w:rsidP="00E32BE0">
      <w:pPr>
        <w:spacing w:after="0" w:line="240" w:lineRule="auto"/>
        <w:ind w:firstLine="709"/>
        <w:jc w:val="both"/>
        <w:rPr>
          <w:rFonts w:eastAsia="SimSun"/>
          <w:sz w:val="24"/>
          <w:szCs w:val="24"/>
          <w:lang w:val="ru-RU" w:eastAsia="zh-CN"/>
        </w:rPr>
      </w:pPr>
      <w:r w:rsidRPr="00E32BE0">
        <w:rPr>
          <w:b/>
          <w:bCs/>
          <w:sz w:val="24"/>
          <w:szCs w:val="24"/>
          <w:lang w:val="ru-RU" w:eastAsia="zh-CN"/>
        </w:rPr>
        <w:t>Методи й організація дослідження.</w:t>
      </w:r>
      <w:r w:rsidRPr="00E32BE0">
        <w:rPr>
          <w:rFonts w:eastAsia="SimSun"/>
          <w:b/>
          <w:bCs/>
          <w:sz w:val="24"/>
          <w:szCs w:val="24"/>
          <w:lang w:val="ru-RU" w:eastAsia="zh-CN"/>
        </w:rPr>
        <w:t xml:space="preserve"> </w:t>
      </w:r>
      <w:r w:rsidRPr="00E32BE0">
        <w:rPr>
          <w:rFonts w:eastAsia="SimSun"/>
          <w:bCs/>
          <w:i/>
          <w:sz w:val="24"/>
          <w:szCs w:val="24"/>
          <w:lang w:val="ru-RU" w:eastAsia="zh-CN"/>
        </w:rPr>
        <w:t xml:space="preserve">Учасники. </w:t>
      </w:r>
      <w:r w:rsidRPr="00E32BE0">
        <w:rPr>
          <w:rFonts w:eastAsia="SimSun"/>
          <w:sz w:val="24"/>
          <w:szCs w:val="24"/>
          <w:lang w:val="ru-RU" w:eastAsia="zh-CN"/>
        </w:rPr>
        <w:t xml:space="preserve">У дослідженні взяли участь 104 курсанти військового </w:t>
      </w:r>
      <w:r w:rsidRPr="002D495E">
        <w:rPr>
          <w:rFonts w:eastAsia="SimSun"/>
          <w:sz w:val="24"/>
          <w:szCs w:val="24"/>
          <w:lang w:val="ru-RU" w:eastAsia="zh-CN"/>
        </w:rPr>
        <w:t xml:space="preserve">навчального підрозділу </w:t>
      </w:r>
      <w:r w:rsidR="002D495E" w:rsidRPr="002D495E">
        <w:rPr>
          <w:sz w:val="24"/>
          <w:szCs w:val="24"/>
          <w:lang w:val="ru-RU"/>
        </w:rPr>
        <w:t>Національн</w:t>
      </w:r>
      <w:r w:rsidR="002D495E" w:rsidRPr="002D495E">
        <w:rPr>
          <w:sz w:val="24"/>
          <w:szCs w:val="24"/>
        </w:rPr>
        <w:t>ої</w:t>
      </w:r>
      <w:r w:rsidR="002D495E" w:rsidRPr="002D495E">
        <w:rPr>
          <w:sz w:val="24"/>
          <w:szCs w:val="24"/>
          <w:lang w:val="ru-RU"/>
        </w:rPr>
        <w:t xml:space="preserve"> академії сухопутних військ імені гетьмана Петра Сагайдачного </w:t>
      </w:r>
      <w:r w:rsidRPr="002D495E">
        <w:rPr>
          <w:rFonts w:eastAsia="SimSun"/>
          <w:sz w:val="24"/>
          <w:szCs w:val="24"/>
          <w:lang w:val="ru-RU" w:eastAsia="zh-CN"/>
        </w:rPr>
        <w:t>упродовж 28 днів.</w:t>
      </w:r>
      <w:r w:rsidRPr="00E32BE0">
        <w:rPr>
          <w:rFonts w:eastAsia="SimSun"/>
          <w:sz w:val="24"/>
          <w:szCs w:val="24"/>
          <w:lang w:val="ru-RU" w:eastAsia="zh-CN"/>
        </w:rPr>
        <w:t xml:space="preserve"> </w:t>
      </w:r>
      <w:r w:rsidRPr="00E32BE0">
        <w:rPr>
          <w:bCs/>
          <w:i/>
          <w:sz w:val="24"/>
          <w:szCs w:val="24"/>
          <w:lang w:val="ru-RU" w:eastAsia="zh-CN"/>
        </w:rPr>
        <w:t>Методи дослідження</w:t>
      </w:r>
      <w:r w:rsidRPr="00E32BE0">
        <w:rPr>
          <w:bCs/>
          <w:i/>
          <w:sz w:val="24"/>
          <w:szCs w:val="24"/>
        </w:rPr>
        <w:t>.</w:t>
      </w:r>
      <w:r w:rsidRPr="00E32BE0">
        <w:rPr>
          <w:bCs/>
          <w:sz w:val="24"/>
          <w:szCs w:val="24"/>
        </w:rPr>
        <w:t xml:space="preserve"> </w:t>
      </w:r>
      <w:r w:rsidRPr="00E32BE0">
        <w:rPr>
          <w:rFonts w:eastAsia="SimSun"/>
          <w:sz w:val="24"/>
          <w:szCs w:val="24"/>
          <w:lang w:val="ru-RU" w:eastAsia="zh-CN"/>
        </w:rPr>
        <w:t>Для досягнення мети дослідження було використано комплекс взаємодоповнюючих методів:</w:t>
      </w:r>
      <w:r w:rsidRPr="00E32BE0">
        <w:rPr>
          <w:rFonts w:eastAsia="SimSun"/>
          <w:sz w:val="24"/>
          <w:szCs w:val="24"/>
          <w:lang w:eastAsia="zh-CN"/>
        </w:rPr>
        <w:t xml:space="preserve"> </w:t>
      </w:r>
      <w:r w:rsidRPr="00E32BE0">
        <w:rPr>
          <w:rFonts w:eastAsia="SimSun"/>
          <w:sz w:val="24"/>
          <w:szCs w:val="24"/>
          <w:lang w:val="ru-RU" w:eastAsia="zh-CN"/>
        </w:rPr>
        <w:t xml:space="preserve">аналіз науково-методичної літератури – для обґрунтування теоретичних засад дослідження, визначення сучасних підходів до розвитку силової витривалості військовослужбовців та використання мотиваційних і цифрових інструментів у фізичній підготовці;педагогічне спостереження – здійснювалося під час виконання курсантами вправи № 20 (згинання та розгинання рук в упорі лежачи) з метою оцінювання техніки виконання вправи, дотримання правильної амплітуди рухів, ритму виконання та виявлення типових помилок;анкетування курсантів – проводилося з метою визначення впливу впровадженої програми на мотиваційні та поведінкові </w:t>
      </w:r>
      <w:r w:rsidRPr="00E32BE0">
        <w:rPr>
          <w:rFonts w:eastAsia="SimSun"/>
          <w:sz w:val="24"/>
          <w:szCs w:val="24"/>
          <w:lang w:val="ru-RU" w:eastAsia="zh-CN"/>
        </w:rPr>
        <w:lastRenderedPageBreak/>
        <w:t>аспекти фізичної підготовки. Анкета включала питання щодо: рівня мотивації до самостійних тренувань; впливу рейтингової системи на бажання покращити результати; частоти виконання самостійних тренувань; зрозумілості запропонованої методики тренування; ефективності відеоінструктажу техніки виконання вправи; суб’єктивної оцінки змін у рівні фізичної підготовленості; тестування фізичної підготовленості – передбачало оцінювання результатів виконання вправи № 20 (згинання та розгинання рук в упорі лежачи) як показника розвитку силової витривалості. Фіксувалася максимальна кількість правильно виконаних повторень за встановлений часовий інтервал відповідно до нормативів фізичної підготовки;методи математичної статистики – використовувалися для обробки отриманих результатів. Індекс ефективності програми був сформований на основі п’яти ключових показників, отриманих за результатами анкетування курсантів: мотиваційний вплив рейтингу результатів;</w:t>
      </w:r>
      <w:r w:rsidRPr="00E32BE0">
        <w:rPr>
          <w:rFonts w:eastAsia="SimSun"/>
          <w:sz w:val="24"/>
          <w:szCs w:val="24"/>
          <w:lang w:eastAsia="zh-CN"/>
        </w:rPr>
        <w:t xml:space="preserve"> </w:t>
      </w:r>
      <w:r w:rsidRPr="00E32BE0">
        <w:rPr>
          <w:rFonts w:eastAsia="SimSun"/>
          <w:sz w:val="24"/>
          <w:szCs w:val="24"/>
          <w:lang w:val="ru-RU" w:eastAsia="zh-CN"/>
        </w:rPr>
        <w:t>збільшення частоти самостійних тренувань;</w:t>
      </w:r>
      <w:r w:rsidRPr="00E32BE0">
        <w:rPr>
          <w:rFonts w:eastAsia="SimSun"/>
          <w:sz w:val="24"/>
          <w:szCs w:val="24"/>
          <w:lang w:eastAsia="zh-CN"/>
        </w:rPr>
        <w:t xml:space="preserve"> </w:t>
      </w:r>
      <w:r w:rsidRPr="00E32BE0">
        <w:rPr>
          <w:rFonts w:eastAsia="SimSun"/>
          <w:sz w:val="24"/>
          <w:szCs w:val="24"/>
          <w:lang w:val="ru-RU" w:eastAsia="zh-CN"/>
        </w:rPr>
        <w:t>зрозумілість методики 4-тижневого тренування;</w:t>
      </w:r>
      <w:r w:rsidRPr="00E32BE0">
        <w:rPr>
          <w:rFonts w:eastAsia="SimSun"/>
          <w:sz w:val="24"/>
          <w:szCs w:val="24"/>
          <w:lang w:eastAsia="zh-CN"/>
        </w:rPr>
        <w:t xml:space="preserve"> </w:t>
      </w:r>
      <w:r w:rsidRPr="00E32BE0">
        <w:rPr>
          <w:rFonts w:eastAsia="SimSun"/>
          <w:sz w:val="24"/>
          <w:szCs w:val="24"/>
          <w:lang w:val="ru-RU" w:eastAsia="zh-CN"/>
        </w:rPr>
        <w:t>ефективність відеоінструктажу техніки виконання вправи;</w:t>
      </w:r>
      <w:r w:rsidRPr="00E32BE0">
        <w:rPr>
          <w:rFonts w:eastAsia="SimSun"/>
          <w:sz w:val="24"/>
          <w:szCs w:val="24"/>
          <w:lang w:eastAsia="zh-CN"/>
        </w:rPr>
        <w:t xml:space="preserve"> </w:t>
      </w:r>
      <w:r w:rsidRPr="00E32BE0">
        <w:rPr>
          <w:rFonts w:eastAsia="SimSun"/>
          <w:sz w:val="24"/>
          <w:szCs w:val="24"/>
          <w:lang w:val="ru-RU" w:eastAsia="zh-CN"/>
        </w:rPr>
        <w:t>суб’єктивна оцінка покращення результатів.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Індекс розраховувався як середнє значення частки позитивних відповідей за зазначеними показниками:</w:t>
      </w:r>
    </w:p>
    <w:p w:rsidR="00E32BE0" w:rsidRPr="00E32BE0" w:rsidRDefault="00E32BE0" w:rsidP="00E32BE0">
      <w:pPr>
        <w:spacing w:after="0" w:line="240" w:lineRule="auto"/>
        <w:ind w:firstLine="709"/>
        <w:jc w:val="both"/>
        <w:rPr>
          <w:rFonts w:eastAsia="SimSun"/>
          <w:sz w:val="24"/>
          <w:szCs w:val="24"/>
          <w:lang w:eastAsia="zh-CN"/>
        </w:rPr>
      </w:pPr>
      <m:oMathPara>
        <m:oMath>
          <m:r>
            <m:rPr>
              <m:sty m:val="p"/>
            </m:rPr>
            <w:rPr>
              <w:rFonts w:ascii="Cambria Math" w:eastAsia="SimSun" w:hAnsi="Cambria Math"/>
              <w:sz w:val="24"/>
              <w:szCs w:val="24"/>
              <w:lang w:eastAsia="zh-CN"/>
            </w:rPr>
            <m:t>РІІ=</m:t>
          </m:r>
          <m:f>
            <m:fPr>
              <m:ctrlPr>
                <w:rPr>
                  <w:rFonts w:ascii="Cambria Math" w:eastAsia="SimSun" w:hAnsi="Cambria Math"/>
                  <w:sz w:val="24"/>
                  <w:szCs w:val="24"/>
                  <w:lang w:eastAsia="zh-CN"/>
                </w:rPr>
              </m:ctrlPr>
            </m:fPr>
            <m:num>
              <m:r>
                <m:rPr>
                  <m:sty m:val="p"/>
                </m:rPr>
                <w:rPr>
                  <w:rFonts w:ascii="Cambria Math" w:eastAsia="SimSun" w:hAnsi="Cambria Math"/>
                  <w:sz w:val="24"/>
                  <w:szCs w:val="24"/>
                  <w:lang w:eastAsia="zh-CN"/>
                </w:rPr>
                <m:t>M+T+U+V+R</m:t>
              </m:r>
            </m:num>
            <m:den>
              <m:r>
                <m:rPr>
                  <m:sty m:val="p"/>
                </m:rPr>
                <w:rPr>
                  <w:rFonts w:ascii="Cambria Math" w:eastAsia="SimSun" w:hAnsi="Cambria Math"/>
                  <w:sz w:val="24"/>
                  <w:szCs w:val="24"/>
                  <w:lang w:eastAsia="zh-CN"/>
                </w:rPr>
                <m:t>5</m:t>
              </m:r>
            </m:den>
          </m:f>
        </m:oMath>
      </m:oMathPara>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eastAsia="zh-CN"/>
        </w:rPr>
        <w:t>де</w:t>
      </w:r>
      <w:r w:rsidRPr="00E32BE0">
        <w:rPr>
          <w:rFonts w:eastAsia="SimSun"/>
          <w:sz w:val="24"/>
          <w:szCs w:val="24"/>
          <w:lang w:eastAsia="zh-CN"/>
        </w:rPr>
        <w:tab/>
      </w:r>
      <w:r w:rsidRPr="00E32BE0">
        <w:rPr>
          <w:rFonts w:eastAsia="SimSun"/>
          <w:sz w:val="24"/>
          <w:szCs w:val="24"/>
          <w:lang w:val="ru-RU" w:eastAsia="zh-CN"/>
        </w:rPr>
        <w:t>M</w:t>
      </w:r>
      <w:r w:rsidRPr="00E32BE0">
        <w:rPr>
          <w:rFonts w:eastAsia="SimSun"/>
          <w:sz w:val="24"/>
          <w:szCs w:val="24"/>
          <w:lang w:eastAsia="zh-CN"/>
        </w:rPr>
        <w:t xml:space="preserve"> – частка курсантів, які відзначили мотиваційний вплив рейтингу;</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val="ru-RU" w:eastAsia="zh-CN"/>
        </w:rPr>
        <w:t>T</w:t>
      </w:r>
      <w:r w:rsidRPr="00E32BE0">
        <w:rPr>
          <w:rFonts w:eastAsia="SimSun"/>
          <w:sz w:val="24"/>
          <w:szCs w:val="24"/>
          <w:lang w:eastAsia="zh-CN"/>
        </w:rPr>
        <w:t xml:space="preserve"> – частка курсантів, які почали тренуватися самостійно частіше;</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val="ru-RU" w:eastAsia="zh-CN"/>
        </w:rPr>
        <w:t>U</w:t>
      </w:r>
      <w:r w:rsidRPr="00E32BE0">
        <w:rPr>
          <w:rFonts w:eastAsia="SimSun"/>
          <w:sz w:val="24"/>
          <w:szCs w:val="24"/>
          <w:lang w:eastAsia="zh-CN"/>
        </w:rPr>
        <w:t xml:space="preserve"> – частка курсантів, які зазначили зрозумілість методики тренування;</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val="ru-RU" w:eastAsia="zh-CN"/>
        </w:rPr>
        <w:t>V</w:t>
      </w:r>
      <w:r w:rsidRPr="00E32BE0">
        <w:rPr>
          <w:rFonts w:eastAsia="SimSun"/>
          <w:sz w:val="24"/>
          <w:szCs w:val="24"/>
          <w:lang w:eastAsia="zh-CN"/>
        </w:rPr>
        <w:t xml:space="preserve"> – частка курсантів, які позитивно оцінили відеоінструктаж;</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R</w:t>
      </w:r>
      <w:r w:rsidRPr="00E32BE0">
        <w:rPr>
          <w:rFonts w:eastAsia="SimSun"/>
          <w:sz w:val="24"/>
          <w:szCs w:val="24"/>
          <w:lang w:eastAsia="zh-CN"/>
        </w:rPr>
        <w:t xml:space="preserve"> – частка курсантів, які відчувають покращення результатів.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i/>
          <w:sz w:val="24"/>
          <w:szCs w:val="24"/>
          <w:shd w:val="clear" w:color="auto" w:fill="FFFFFF"/>
          <w:lang w:val="ru-RU" w:eastAsia="zh-CN"/>
        </w:rPr>
        <w:t>Статистичний аналіз</w:t>
      </w:r>
      <w:r w:rsidRPr="00E32BE0">
        <w:rPr>
          <w:rFonts w:eastAsia="SimSun"/>
          <w:sz w:val="24"/>
          <w:szCs w:val="24"/>
          <w:shd w:val="clear" w:color="auto" w:fill="FFFFFF"/>
          <w:lang w:eastAsia="zh-CN"/>
        </w:rPr>
        <w:t>.</w:t>
      </w:r>
      <w:r w:rsidRPr="00E32BE0">
        <w:rPr>
          <w:rFonts w:eastAsia="SimSun"/>
          <w:sz w:val="24"/>
          <w:szCs w:val="24"/>
          <w:lang w:val="ru-RU" w:eastAsia="zh-CN"/>
        </w:rPr>
        <w:t xml:space="preserve"> Застосовано: описову статистику (визначення середнього значення (Mean), стандартного відхилення (SD));частотний аналіз (визначення відсоткового розподілу відповідей курсантів за результатами анкетування). Рівень статистичної значущості приймався на рівні p &lt; 0,05.</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b/>
          <w:bCs/>
          <w:sz w:val="24"/>
          <w:szCs w:val="24"/>
          <w:lang w:val="ru-RU" w:eastAsia="zh-CN"/>
        </w:rPr>
        <w:t xml:space="preserve">Результати </w:t>
      </w:r>
      <w:r w:rsidRPr="00E32BE0">
        <w:rPr>
          <w:rFonts w:eastAsia="SimSun"/>
          <w:b/>
          <w:bCs/>
          <w:sz w:val="24"/>
          <w:szCs w:val="24"/>
          <w:lang w:eastAsia="zh-CN"/>
        </w:rPr>
        <w:t>дослідження.</w:t>
      </w:r>
      <w:r w:rsidRPr="00E32BE0">
        <w:rPr>
          <w:rFonts w:eastAsia="SimSun"/>
          <w:sz w:val="24"/>
          <w:szCs w:val="24"/>
          <w:lang w:eastAsia="zh-CN"/>
        </w:rPr>
        <w:t xml:space="preserve"> </w:t>
      </w:r>
      <w:r w:rsidRPr="00E32BE0">
        <w:rPr>
          <w:rFonts w:eastAsia="SimSun"/>
          <w:sz w:val="24"/>
          <w:szCs w:val="24"/>
          <w:lang w:val="ru-RU" w:eastAsia="zh-CN"/>
        </w:rPr>
        <w:t>Програма</w:t>
      </w:r>
      <w:r w:rsidRPr="00E32BE0">
        <w:rPr>
          <w:rFonts w:eastAsia="SimSun"/>
          <w:sz w:val="24"/>
          <w:szCs w:val="24"/>
          <w:lang w:eastAsia="zh-CN"/>
        </w:rPr>
        <w:t xml:space="preserve"> </w:t>
      </w:r>
      <w:r w:rsidRPr="00E32BE0">
        <w:rPr>
          <w:rFonts w:eastAsia="SimSun"/>
          <w:sz w:val="24"/>
          <w:szCs w:val="24"/>
          <w:lang w:val="ru-RU" w:eastAsia="zh-CN"/>
        </w:rPr>
        <w:t>включала</w:t>
      </w:r>
      <w:r w:rsidRPr="00E32BE0">
        <w:rPr>
          <w:rFonts w:eastAsia="SimSun"/>
          <w:sz w:val="24"/>
          <w:szCs w:val="24"/>
          <w:lang w:eastAsia="zh-CN"/>
        </w:rPr>
        <w:t xml:space="preserve"> </w:t>
      </w:r>
      <w:r w:rsidRPr="00E32BE0">
        <w:rPr>
          <w:rFonts w:eastAsia="SimSun"/>
          <w:sz w:val="24"/>
          <w:szCs w:val="24"/>
          <w:lang w:val="ru-RU" w:eastAsia="zh-CN"/>
        </w:rPr>
        <w:t>декілька</w:t>
      </w:r>
      <w:r w:rsidRPr="00E32BE0">
        <w:rPr>
          <w:rFonts w:eastAsia="SimSun"/>
          <w:sz w:val="24"/>
          <w:szCs w:val="24"/>
          <w:lang w:eastAsia="zh-CN"/>
        </w:rPr>
        <w:t xml:space="preserve"> </w:t>
      </w:r>
      <w:r w:rsidRPr="00E32BE0">
        <w:rPr>
          <w:rFonts w:eastAsia="SimSun"/>
          <w:sz w:val="24"/>
          <w:szCs w:val="24"/>
          <w:lang w:val="ru-RU" w:eastAsia="zh-CN"/>
        </w:rPr>
        <w:t>взаємопов</w:t>
      </w:r>
      <w:r w:rsidRPr="00E32BE0">
        <w:rPr>
          <w:rFonts w:eastAsia="SimSun"/>
          <w:sz w:val="24"/>
          <w:szCs w:val="24"/>
          <w:lang w:eastAsia="zh-CN"/>
        </w:rPr>
        <w:t>’</w:t>
      </w:r>
      <w:r w:rsidRPr="00E32BE0">
        <w:rPr>
          <w:rFonts w:eastAsia="SimSun"/>
          <w:sz w:val="24"/>
          <w:szCs w:val="24"/>
          <w:lang w:val="ru-RU" w:eastAsia="zh-CN"/>
        </w:rPr>
        <w:t>язаних</w:t>
      </w:r>
      <w:r w:rsidRPr="00E32BE0">
        <w:rPr>
          <w:rFonts w:eastAsia="SimSun"/>
          <w:sz w:val="24"/>
          <w:szCs w:val="24"/>
          <w:lang w:eastAsia="zh-CN"/>
        </w:rPr>
        <w:t xml:space="preserve"> </w:t>
      </w:r>
      <w:r w:rsidRPr="00E32BE0">
        <w:rPr>
          <w:rFonts w:eastAsia="SimSun"/>
          <w:sz w:val="24"/>
          <w:szCs w:val="24"/>
          <w:lang w:val="ru-RU" w:eastAsia="zh-CN"/>
        </w:rPr>
        <w:t>елементів</w:t>
      </w:r>
      <w:r w:rsidRPr="00E32BE0">
        <w:rPr>
          <w:rFonts w:eastAsia="SimSun"/>
          <w:sz w:val="24"/>
          <w:szCs w:val="24"/>
          <w:lang w:eastAsia="zh-CN"/>
        </w:rPr>
        <w:t xml:space="preserve">: </w:t>
      </w:r>
      <w:r w:rsidRPr="00E32BE0">
        <w:rPr>
          <w:rFonts w:eastAsia="SimSun"/>
          <w:sz w:val="24"/>
          <w:szCs w:val="24"/>
          <w:lang w:val="ru-RU" w:eastAsia="zh-CN"/>
        </w:rPr>
        <w:t>відеоінструктаж</w:t>
      </w:r>
      <w:r w:rsidRPr="00E32BE0">
        <w:rPr>
          <w:rFonts w:eastAsia="SimSun"/>
          <w:sz w:val="24"/>
          <w:szCs w:val="24"/>
          <w:lang w:eastAsia="zh-CN"/>
        </w:rPr>
        <w:t xml:space="preserve"> </w:t>
      </w:r>
      <w:r w:rsidRPr="00E32BE0">
        <w:rPr>
          <w:rFonts w:eastAsia="SimSun"/>
          <w:sz w:val="24"/>
          <w:szCs w:val="24"/>
          <w:lang w:val="ru-RU" w:eastAsia="zh-CN"/>
        </w:rPr>
        <w:t>техніки</w:t>
      </w:r>
      <w:r w:rsidRPr="00E32BE0">
        <w:rPr>
          <w:rFonts w:eastAsia="SimSun"/>
          <w:sz w:val="24"/>
          <w:szCs w:val="24"/>
          <w:lang w:eastAsia="zh-CN"/>
        </w:rPr>
        <w:t xml:space="preserve"> </w:t>
      </w:r>
      <w:r w:rsidRPr="00E32BE0">
        <w:rPr>
          <w:rFonts w:eastAsia="SimSun"/>
          <w:sz w:val="24"/>
          <w:szCs w:val="24"/>
          <w:lang w:val="ru-RU" w:eastAsia="zh-CN"/>
        </w:rPr>
        <w:t>виконання</w:t>
      </w:r>
      <w:r w:rsidRPr="00E32BE0">
        <w:rPr>
          <w:rFonts w:eastAsia="SimSun"/>
          <w:sz w:val="24"/>
          <w:szCs w:val="24"/>
          <w:lang w:eastAsia="zh-CN"/>
        </w:rPr>
        <w:t xml:space="preserve"> </w:t>
      </w:r>
      <w:r w:rsidRPr="00E32BE0">
        <w:rPr>
          <w:rFonts w:eastAsia="SimSun"/>
          <w:sz w:val="24"/>
          <w:szCs w:val="24"/>
          <w:lang w:val="ru-RU" w:eastAsia="zh-CN"/>
        </w:rPr>
        <w:t>вправи</w:t>
      </w:r>
      <w:r w:rsidRPr="00E32BE0">
        <w:rPr>
          <w:rFonts w:eastAsia="SimSun"/>
          <w:sz w:val="24"/>
          <w:szCs w:val="24"/>
          <w:lang w:eastAsia="zh-CN"/>
        </w:rPr>
        <w:t xml:space="preserve">, </w:t>
      </w:r>
      <w:r w:rsidRPr="00E32BE0">
        <w:rPr>
          <w:rFonts w:eastAsia="SimSun"/>
          <w:sz w:val="24"/>
          <w:szCs w:val="24"/>
          <w:lang w:val="ru-RU" w:eastAsia="zh-CN"/>
        </w:rPr>
        <w:t>систему</w:t>
      </w:r>
      <w:r w:rsidRPr="00E32BE0">
        <w:rPr>
          <w:rFonts w:eastAsia="SimSun"/>
          <w:sz w:val="24"/>
          <w:szCs w:val="24"/>
          <w:lang w:eastAsia="zh-CN"/>
        </w:rPr>
        <w:t xml:space="preserve"> </w:t>
      </w:r>
      <w:r w:rsidRPr="00E32BE0">
        <w:rPr>
          <w:rFonts w:eastAsia="SimSun"/>
          <w:sz w:val="24"/>
          <w:szCs w:val="24"/>
          <w:lang w:val="ru-RU" w:eastAsia="zh-CN"/>
        </w:rPr>
        <w:t>відображення</w:t>
      </w:r>
      <w:r w:rsidRPr="00E32BE0">
        <w:rPr>
          <w:rFonts w:eastAsia="SimSun"/>
          <w:sz w:val="24"/>
          <w:szCs w:val="24"/>
          <w:lang w:eastAsia="zh-CN"/>
        </w:rPr>
        <w:t xml:space="preserve"> </w:t>
      </w:r>
      <w:r w:rsidRPr="00E32BE0">
        <w:rPr>
          <w:rFonts w:eastAsia="SimSun"/>
          <w:sz w:val="24"/>
          <w:szCs w:val="24"/>
          <w:lang w:val="ru-RU" w:eastAsia="zh-CN"/>
        </w:rPr>
        <w:t>рейтингу</w:t>
      </w:r>
      <w:r w:rsidRPr="00E32BE0">
        <w:rPr>
          <w:rFonts w:eastAsia="SimSun"/>
          <w:sz w:val="24"/>
          <w:szCs w:val="24"/>
          <w:lang w:eastAsia="zh-CN"/>
        </w:rPr>
        <w:t xml:space="preserve"> </w:t>
      </w:r>
      <w:r w:rsidRPr="00E32BE0">
        <w:rPr>
          <w:rFonts w:eastAsia="SimSun"/>
          <w:sz w:val="24"/>
          <w:szCs w:val="24"/>
          <w:lang w:val="ru-RU" w:eastAsia="zh-CN"/>
        </w:rPr>
        <w:t>курсантів</w:t>
      </w:r>
      <w:r w:rsidRPr="00E32BE0">
        <w:rPr>
          <w:rFonts w:eastAsia="SimSun"/>
          <w:sz w:val="24"/>
          <w:szCs w:val="24"/>
          <w:lang w:eastAsia="zh-CN"/>
        </w:rPr>
        <w:t xml:space="preserve"> </w:t>
      </w:r>
      <w:r w:rsidRPr="00E32BE0">
        <w:rPr>
          <w:rFonts w:eastAsia="SimSun"/>
          <w:sz w:val="24"/>
          <w:szCs w:val="24"/>
          <w:lang w:val="ru-RU" w:eastAsia="zh-CN"/>
        </w:rPr>
        <w:t>на</w:t>
      </w:r>
      <w:r w:rsidRPr="00E32BE0">
        <w:rPr>
          <w:rFonts w:eastAsia="SimSun"/>
          <w:sz w:val="24"/>
          <w:szCs w:val="24"/>
          <w:lang w:eastAsia="zh-CN"/>
        </w:rPr>
        <w:t xml:space="preserve"> </w:t>
      </w:r>
      <w:r w:rsidRPr="00E32BE0">
        <w:rPr>
          <w:rFonts w:eastAsia="SimSun"/>
          <w:sz w:val="24"/>
          <w:szCs w:val="24"/>
          <w:lang w:val="ru-RU" w:eastAsia="zh-CN"/>
        </w:rPr>
        <w:t>екрані</w:t>
      </w:r>
      <w:r w:rsidRPr="00E32BE0">
        <w:rPr>
          <w:rFonts w:eastAsia="SimSun"/>
          <w:sz w:val="24"/>
          <w:szCs w:val="24"/>
          <w:lang w:eastAsia="zh-CN"/>
        </w:rPr>
        <w:t xml:space="preserve"> </w:t>
      </w:r>
      <w:r w:rsidRPr="00E32BE0">
        <w:rPr>
          <w:rFonts w:eastAsia="SimSun"/>
          <w:sz w:val="24"/>
          <w:szCs w:val="24"/>
          <w:lang w:val="ru-RU" w:eastAsia="zh-CN"/>
        </w:rPr>
        <w:t>у</w:t>
      </w:r>
      <w:r w:rsidRPr="00E32BE0">
        <w:rPr>
          <w:rFonts w:eastAsia="SimSun"/>
          <w:sz w:val="24"/>
          <w:szCs w:val="24"/>
          <w:lang w:eastAsia="zh-CN"/>
        </w:rPr>
        <w:t xml:space="preserve"> </w:t>
      </w:r>
      <w:r w:rsidRPr="00E32BE0">
        <w:rPr>
          <w:rFonts w:eastAsia="SimSun"/>
          <w:sz w:val="24"/>
          <w:szCs w:val="24"/>
          <w:lang w:val="ru-RU" w:eastAsia="zh-CN"/>
        </w:rPr>
        <w:t>приміщенні</w:t>
      </w:r>
      <w:r w:rsidRPr="00E32BE0">
        <w:rPr>
          <w:rFonts w:eastAsia="SimSun"/>
          <w:sz w:val="24"/>
          <w:szCs w:val="24"/>
          <w:lang w:eastAsia="zh-CN"/>
        </w:rPr>
        <w:t xml:space="preserve"> </w:t>
      </w:r>
      <w:r w:rsidRPr="00E32BE0">
        <w:rPr>
          <w:rFonts w:eastAsia="SimSun"/>
          <w:sz w:val="24"/>
          <w:szCs w:val="24"/>
          <w:lang w:val="ru-RU" w:eastAsia="zh-CN"/>
        </w:rPr>
        <w:t>підрозділу</w:t>
      </w:r>
      <w:r w:rsidRPr="00E32BE0">
        <w:rPr>
          <w:rFonts w:eastAsia="SimSun"/>
          <w:sz w:val="24"/>
          <w:szCs w:val="24"/>
          <w:lang w:eastAsia="zh-CN"/>
        </w:rPr>
        <w:t xml:space="preserve">, </w:t>
      </w:r>
      <w:r w:rsidRPr="00E32BE0">
        <w:rPr>
          <w:rFonts w:eastAsia="SimSun"/>
          <w:sz w:val="24"/>
          <w:szCs w:val="24"/>
          <w:lang w:val="ru-RU" w:eastAsia="zh-CN"/>
        </w:rPr>
        <w:t>а</w:t>
      </w:r>
      <w:r w:rsidRPr="00E32BE0">
        <w:rPr>
          <w:rFonts w:eastAsia="SimSun"/>
          <w:sz w:val="24"/>
          <w:szCs w:val="24"/>
          <w:lang w:eastAsia="zh-CN"/>
        </w:rPr>
        <w:t xml:space="preserve"> </w:t>
      </w:r>
      <w:r w:rsidRPr="00E32BE0">
        <w:rPr>
          <w:rFonts w:eastAsia="SimSun"/>
          <w:sz w:val="24"/>
          <w:szCs w:val="24"/>
          <w:lang w:val="ru-RU" w:eastAsia="zh-CN"/>
        </w:rPr>
        <w:t>також</w:t>
      </w:r>
      <w:r w:rsidRPr="00E32BE0">
        <w:rPr>
          <w:rFonts w:eastAsia="SimSun"/>
          <w:sz w:val="24"/>
          <w:szCs w:val="24"/>
          <w:lang w:eastAsia="zh-CN"/>
        </w:rPr>
        <w:t xml:space="preserve"> </w:t>
      </w:r>
      <w:r w:rsidRPr="00E32BE0">
        <w:rPr>
          <w:rFonts w:eastAsia="SimSun"/>
          <w:sz w:val="24"/>
          <w:szCs w:val="24"/>
          <w:lang w:val="ru-RU" w:eastAsia="zh-CN"/>
        </w:rPr>
        <w:t>зміст</w:t>
      </w:r>
      <w:r w:rsidRPr="00E32BE0">
        <w:rPr>
          <w:rFonts w:eastAsia="SimSun"/>
          <w:sz w:val="24"/>
          <w:szCs w:val="24"/>
          <w:lang w:eastAsia="zh-CN"/>
        </w:rPr>
        <w:t xml:space="preserve"> </w:t>
      </w:r>
      <w:r w:rsidRPr="00E32BE0">
        <w:rPr>
          <w:rFonts w:eastAsia="SimSun"/>
          <w:sz w:val="24"/>
          <w:szCs w:val="24"/>
          <w:lang w:val="ru-RU" w:eastAsia="zh-CN"/>
        </w:rPr>
        <w:t>самостійних</w:t>
      </w:r>
      <w:r w:rsidRPr="00E32BE0">
        <w:rPr>
          <w:rFonts w:eastAsia="SimSun"/>
          <w:sz w:val="24"/>
          <w:szCs w:val="24"/>
          <w:lang w:eastAsia="zh-CN"/>
        </w:rPr>
        <w:t xml:space="preserve"> </w:t>
      </w:r>
      <w:r w:rsidRPr="00E32BE0">
        <w:rPr>
          <w:rFonts w:eastAsia="SimSun"/>
          <w:sz w:val="24"/>
          <w:szCs w:val="24"/>
          <w:lang w:val="ru-RU" w:eastAsia="zh-CN"/>
        </w:rPr>
        <w:t>тренувань</w:t>
      </w:r>
      <w:r w:rsidRPr="00E32BE0">
        <w:rPr>
          <w:rFonts w:eastAsia="SimSun"/>
          <w:sz w:val="24"/>
          <w:szCs w:val="24"/>
          <w:lang w:eastAsia="zh-CN"/>
        </w:rPr>
        <w:t xml:space="preserve"> </w:t>
      </w:r>
      <w:r w:rsidRPr="00E32BE0">
        <w:rPr>
          <w:rFonts w:eastAsia="SimSun"/>
          <w:sz w:val="24"/>
          <w:szCs w:val="24"/>
          <w:lang w:val="ru-RU" w:eastAsia="zh-CN"/>
        </w:rPr>
        <w:t>упродовж</w:t>
      </w:r>
      <w:r w:rsidRPr="00E32BE0">
        <w:rPr>
          <w:rFonts w:eastAsia="SimSun"/>
          <w:sz w:val="24"/>
          <w:szCs w:val="24"/>
          <w:lang w:eastAsia="zh-CN"/>
        </w:rPr>
        <w:t xml:space="preserve"> </w:t>
      </w:r>
      <w:r w:rsidRPr="00E32BE0">
        <w:rPr>
          <w:rFonts w:eastAsia="SimSun"/>
          <w:sz w:val="24"/>
          <w:szCs w:val="24"/>
          <w:lang w:val="ru-RU" w:eastAsia="zh-CN"/>
        </w:rPr>
        <w:t>чотиритижневого</w:t>
      </w:r>
      <w:r w:rsidRPr="00E32BE0">
        <w:rPr>
          <w:rFonts w:eastAsia="SimSun"/>
          <w:sz w:val="24"/>
          <w:szCs w:val="24"/>
          <w:lang w:eastAsia="zh-CN"/>
        </w:rPr>
        <w:t xml:space="preserve"> </w:t>
      </w:r>
      <w:r w:rsidRPr="00E32BE0">
        <w:rPr>
          <w:rFonts w:eastAsia="SimSun"/>
          <w:sz w:val="24"/>
          <w:szCs w:val="24"/>
          <w:lang w:val="ru-RU" w:eastAsia="zh-CN"/>
        </w:rPr>
        <w:t>циклу</w:t>
      </w:r>
      <w:r w:rsidRPr="00E32BE0">
        <w:rPr>
          <w:rFonts w:eastAsia="SimSun"/>
          <w:sz w:val="24"/>
          <w:szCs w:val="24"/>
          <w:lang w:eastAsia="zh-CN"/>
        </w:rPr>
        <w:t xml:space="preserve">, </w:t>
      </w:r>
      <w:r w:rsidRPr="00E32BE0">
        <w:rPr>
          <w:rFonts w:eastAsia="SimSun"/>
          <w:sz w:val="24"/>
          <w:szCs w:val="24"/>
          <w:lang w:val="ru-RU" w:eastAsia="zh-CN"/>
        </w:rPr>
        <w:t>тестування фізичної підготовленості</w:t>
      </w:r>
      <w:r w:rsidRPr="00E32BE0">
        <w:rPr>
          <w:rFonts w:eastAsia="SimSun"/>
          <w:sz w:val="24"/>
          <w:szCs w:val="24"/>
          <w:lang w:eastAsia="zh-CN"/>
        </w:rPr>
        <w:t xml:space="preserve">, рекомендації щодо застосування програми. </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eastAsia="zh-CN"/>
        </w:rPr>
        <w:t>Зміст відеоінструктажу техніки виконання вправи №20.</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eastAsia="zh-CN"/>
        </w:rPr>
        <w:t>Відеоінструктаж був розроблений з метою формування у курсантів правильних рухових навичок під час виконання вправи №20 («згинання та розгинання рук в упорі лежачи») та стандартизації техніки виконання.</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eastAsia="zh-CN"/>
        </w:rPr>
        <w:t>У відеоматеріалі послідовно представлено такі елементи техніки: вихідне положення – тіло розташоване у прямій лінії (голова-тулуб-ноги), опора на долоні та носки стоп; руки розміщені на ширині плечей; погляд спрямований вперед або вниз; корпус стабілізований за рахунок напруження м’язів кора. Фаза згинання рук: плавне опускання тулуба шляхом згинання рук у ліктьових суглобах до кута приблизно 90°, з контролем положення корпусу без прогину у попереку. Фаза розгинання рук: активне випрямлення рук із поверненням у вихідне положення без порушення положення тіла. Дихання: вдих під час опускання тулуба та видих під час піднімання. Темп виконання: рівномірний, контрольований, без різких рухів.</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eastAsia="zh-CN"/>
        </w:rPr>
        <w:t>Типові помилки: прогин у поперековому відділі; піднімання таза; неповна амплітуда рухів; асиметричне положення рук; порушення ритму виконання.</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eastAsia="zh-CN"/>
        </w:rPr>
        <w:t>Методи корекції техніки: використання візуального контролю, повторний перегляд відео, виконання вправи у повільному темпі з акцентом на техніку.</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eastAsia="zh-CN"/>
        </w:rPr>
        <w:lastRenderedPageBreak/>
        <w:t>Відеоінструкція була доступна курсантам у цифровому форматі для багаторазового перегляду перед тренуванням та під час самостійних занять.</w:t>
      </w:r>
    </w:p>
    <w:p w:rsidR="00E32BE0" w:rsidRPr="00E32BE0" w:rsidRDefault="00E32BE0" w:rsidP="00E32BE0">
      <w:pPr>
        <w:spacing w:after="0" w:line="240" w:lineRule="auto"/>
        <w:ind w:firstLine="709"/>
        <w:jc w:val="both"/>
        <w:rPr>
          <w:rFonts w:eastAsia="SimSun"/>
          <w:b/>
          <w:bCs/>
          <w:sz w:val="24"/>
          <w:szCs w:val="24"/>
          <w:lang w:val="ru-RU" w:eastAsia="zh-CN"/>
        </w:rPr>
      </w:pPr>
      <w:r w:rsidRPr="00E32BE0">
        <w:rPr>
          <w:rFonts w:eastAsia="SimSun"/>
          <w:b/>
          <w:bCs/>
          <w:sz w:val="24"/>
          <w:szCs w:val="24"/>
          <w:lang w:val="ru-RU" w:eastAsia="zh-CN"/>
        </w:rPr>
        <w:t>Програма покращення результатів у вправі «Згинання-розгинання рук в упорі лежачи» (чотиритижневий тренувальний цикл)</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b/>
          <w:sz w:val="24"/>
          <w:szCs w:val="24"/>
          <w:lang w:val="ru-RU" w:eastAsia="zh-CN"/>
        </w:rPr>
        <w:t>1.</w:t>
      </w:r>
      <w:r w:rsidRPr="00E32BE0">
        <w:rPr>
          <w:rFonts w:eastAsia="SimSun"/>
          <w:sz w:val="24"/>
          <w:szCs w:val="24"/>
          <w:lang w:val="ru-RU" w:eastAsia="zh-CN"/>
        </w:rPr>
        <w:t xml:space="preserve"> </w:t>
      </w:r>
      <w:r w:rsidRPr="00E32BE0">
        <w:rPr>
          <w:rFonts w:eastAsia="SimSun"/>
          <w:b/>
          <w:bCs/>
          <w:sz w:val="24"/>
          <w:szCs w:val="24"/>
          <w:lang w:val="ru-RU" w:eastAsia="zh-CN"/>
        </w:rPr>
        <w:t>Відеоінструкція з техніки виконання вправи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Перший елемент програми передбачає візуальну демонстрацію та пояснення правильної техніки виконання вправи №20.</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Мета: стандартизувати техніку виконання вправи №20 серед курсантів; зменшити технічні помилки; підвищити ефективність тренувань та тестування.</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Зміст відеоінструкції: правильне вихідне положення (вирівнювання тіла, положення рук, положення голови); правильна механіка рухів під час згинання та розгинання ліктя; техніка дихання; поширені технічні помилки та способи їх виправлення; рекомендації щодо підтримки належного темпу та амплітуди.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Відеоінструкція доступна для багаторазового перегляду через персональні мобільні пристрої, що дозволяє курсантам переглядати техніку перед тренуваннями або під час самостійних занять.</w:t>
      </w:r>
    </w:p>
    <w:p w:rsidR="00E32BE0" w:rsidRPr="00E32BE0" w:rsidRDefault="00E32BE0" w:rsidP="00E32BE0">
      <w:pPr>
        <w:spacing w:after="0" w:line="240" w:lineRule="auto"/>
        <w:ind w:firstLine="709"/>
        <w:jc w:val="both"/>
        <w:rPr>
          <w:rFonts w:eastAsia="SimSun"/>
          <w:b/>
          <w:bCs/>
          <w:sz w:val="24"/>
          <w:szCs w:val="24"/>
          <w:lang w:val="ru-RU" w:eastAsia="zh-CN"/>
        </w:rPr>
      </w:pPr>
      <w:r w:rsidRPr="00E32BE0">
        <w:rPr>
          <w:rFonts w:eastAsia="SimSun"/>
          <w:b/>
          <w:sz w:val="24"/>
          <w:szCs w:val="24"/>
          <w:lang w:val="ru-RU" w:eastAsia="zh-CN"/>
        </w:rPr>
        <w:t>2.</w:t>
      </w:r>
      <w:r w:rsidRPr="00E32BE0">
        <w:rPr>
          <w:rFonts w:eastAsia="SimSun"/>
          <w:sz w:val="24"/>
          <w:szCs w:val="24"/>
          <w:lang w:val="ru-RU" w:eastAsia="zh-CN"/>
        </w:rPr>
        <w:t xml:space="preserve"> </w:t>
      </w:r>
      <w:r w:rsidRPr="00E32BE0">
        <w:rPr>
          <w:rFonts w:eastAsia="SimSun"/>
          <w:b/>
          <w:bCs/>
          <w:sz w:val="24"/>
          <w:szCs w:val="24"/>
          <w:lang w:val="ru-RU" w:eastAsia="zh-CN"/>
        </w:rPr>
        <w:t>Система відображення оцінок курсантів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Другим компонентом програми є візуальна система оцінювання, яка відображає результати виконання курсантами завдань на екрані в навчальній зоні підрозділу.</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Мета: підвищити мотивацію до регулярних тренувань; створити конкурентне середовище; надавати зворотний зв’язок щодо прогресу виконання завдань.</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Особливості системи оцінювання: відображення</w:t>
      </w:r>
      <w:r w:rsidRPr="00E32BE0">
        <w:rPr>
          <w:rFonts w:eastAsia="SimSun"/>
          <w:sz w:val="24"/>
          <w:szCs w:val="24"/>
          <w:lang w:eastAsia="zh-CN"/>
        </w:rPr>
        <w:t xml:space="preserve"> вихідного рівня</w:t>
      </w:r>
      <w:r w:rsidRPr="00E32BE0">
        <w:rPr>
          <w:rFonts w:eastAsia="SimSun"/>
          <w:sz w:val="24"/>
          <w:szCs w:val="24"/>
          <w:lang w:val="ru-RU" w:eastAsia="zh-CN"/>
        </w:rPr>
        <w:t xml:space="preserve"> індивідуальних результатів тестування вправи</w:t>
      </w:r>
      <w:r w:rsidRPr="00E32BE0">
        <w:rPr>
          <w:rFonts w:eastAsia="SimSun"/>
          <w:sz w:val="24"/>
          <w:szCs w:val="24"/>
          <w:lang w:eastAsia="zh-CN"/>
        </w:rPr>
        <w:t xml:space="preserve"> та кінцевого контролю</w:t>
      </w:r>
      <w:r w:rsidRPr="00E32BE0">
        <w:rPr>
          <w:rFonts w:eastAsia="SimSun"/>
          <w:sz w:val="24"/>
          <w:szCs w:val="24"/>
          <w:lang w:val="ru-RU" w:eastAsia="zh-CN"/>
        </w:rPr>
        <w:t>; візуалізація особистого прогресу з часом.</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Така система сприяє соціальній мотивації, відповідальності та залученню до фізичної підготовки.</w:t>
      </w:r>
    </w:p>
    <w:p w:rsidR="00E32BE0" w:rsidRPr="00E32BE0" w:rsidRDefault="00E32BE0" w:rsidP="00E32BE0">
      <w:pPr>
        <w:spacing w:after="0" w:line="240" w:lineRule="auto"/>
        <w:ind w:firstLine="709"/>
        <w:jc w:val="both"/>
        <w:rPr>
          <w:rFonts w:eastAsia="SimSun"/>
          <w:b/>
          <w:bCs/>
          <w:sz w:val="24"/>
          <w:szCs w:val="24"/>
          <w:lang w:val="ru-RU" w:eastAsia="zh-CN"/>
        </w:rPr>
      </w:pPr>
      <w:r w:rsidRPr="00E32BE0">
        <w:rPr>
          <w:rFonts w:eastAsia="SimSun"/>
          <w:b/>
          <w:sz w:val="24"/>
          <w:szCs w:val="24"/>
          <w:lang w:val="ru-RU" w:eastAsia="zh-CN"/>
        </w:rPr>
        <w:t>3.</w:t>
      </w:r>
      <w:r w:rsidRPr="00E32BE0">
        <w:rPr>
          <w:rFonts w:eastAsia="SimSun"/>
          <w:sz w:val="24"/>
          <w:szCs w:val="24"/>
          <w:lang w:val="ru-RU" w:eastAsia="zh-CN"/>
        </w:rPr>
        <w:t xml:space="preserve"> </w:t>
      </w:r>
      <w:r w:rsidRPr="00E32BE0">
        <w:rPr>
          <w:rFonts w:eastAsia="SimSun"/>
          <w:b/>
          <w:bCs/>
          <w:sz w:val="24"/>
          <w:szCs w:val="24"/>
          <w:lang w:val="ru-RU" w:eastAsia="zh-CN"/>
        </w:rPr>
        <w:t xml:space="preserve">Тестування </w:t>
      </w:r>
      <w:r w:rsidRPr="00E32BE0">
        <w:rPr>
          <w:rFonts w:eastAsia="SimSun"/>
          <w:b/>
          <w:bCs/>
          <w:sz w:val="24"/>
          <w:szCs w:val="24"/>
          <w:lang w:eastAsia="zh-CN"/>
        </w:rPr>
        <w:t>вправи №20</w:t>
      </w:r>
      <w:r w:rsidRPr="00E32BE0">
        <w:rPr>
          <w:rFonts w:eastAsia="SimSun"/>
          <w:b/>
          <w:bCs/>
          <w:sz w:val="24"/>
          <w:szCs w:val="24"/>
          <w:lang w:val="ru-RU" w:eastAsia="zh-CN"/>
        </w:rPr>
        <w:t xml:space="preserve"> «Згинання-розгинання рук в упорі лежачи»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Тестування використовується для моніторингу прогресу та оцінки ефективності навчальної програми.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Графік тестування:</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Початкове тестування (1-й день) – базова оцінка;</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Заключне тестування (кінець 4-го тижня) – оцінка ефективності тренувань.</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Умови тестування: стандартизована техніка згідно з відеоінструкцією; максимальна кількість повторень, виконаних без технічних порушень; рівномірний темп та нагляд інструктора.</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Результати фіксуються та вносяться в систему оцінювання.</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4. Очікувані результати: покращення техніки виконання вправи №20;</w:t>
      </w:r>
      <w:r w:rsidRPr="00E32BE0">
        <w:rPr>
          <w:rFonts w:eastAsia="SimSun"/>
          <w:sz w:val="24"/>
          <w:szCs w:val="24"/>
          <w:lang w:eastAsia="zh-CN"/>
        </w:rPr>
        <w:t xml:space="preserve"> </w:t>
      </w:r>
      <w:r w:rsidRPr="00E32BE0">
        <w:rPr>
          <w:rFonts w:eastAsia="SimSun"/>
          <w:sz w:val="24"/>
          <w:szCs w:val="24"/>
          <w:lang w:val="ru-RU" w:eastAsia="zh-CN"/>
        </w:rPr>
        <w:t xml:space="preserve">покращення м’язової витривалості верхньої частини тіла; </w:t>
      </w:r>
      <w:r w:rsidRPr="00E32BE0">
        <w:rPr>
          <w:rFonts w:eastAsia="SimSun"/>
          <w:sz w:val="24"/>
          <w:szCs w:val="24"/>
          <w:lang w:eastAsia="zh-CN"/>
        </w:rPr>
        <w:t>П</w:t>
      </w:r>
      <w:r w:rsidRPr="00E32BE0">
        <w:rPr>
          <w:rFonts w:eastAsia="SimSun"/>
          <w:sz w:val="24"/>
          <w:szCs w:val="24"/>
          <w:lang w:val="ru-RU" w:eastAsia="zh-CN"/>
        </w:rPr>
        <w:t>ідвищення мотивації завдяки конкурентній системі оцінювання;</w:t>
      </w:r>
      <w:r w:rsidRPr="00E32BE0">
        <w:rPr>
          <w:rFonts w:eastAsia="SimSun"/>
          <w:sz w:val="24"/>
          <w:szCs w:val="24"/>
          <w:lang w:eastAsia="zh-CN"/>
        </w:rPr>
        <w:t xml:space="preserve"> П</w:t>
      </w:r>
      <w:r w:rsidRPr="00E32BE0">
        <w:rPr>
          <w:rFonts w:eastAsia="SimSun"/>
          <w:sz w:val="24"/>
          <w:szCs w:val="24"/>
          <w:lang w:val="ru-RU" w:eastAsia="zh-CN"/>
        </w:rPr>
        <w:t>окращення техніки завдяки візуальному навчанню за допомогою відеоінструкцій.</w:t>
      </w:r>
    </w:p>
    <w:p w:rsidR="00E32BE0" w:rsidRPr="00E32BE0" w:rsidRDefault="00E32BE0" w:rsidP="00E32BE0">
      <w:pPr>
        <w:spacing w:after="0" w:line="240" w:lineRule="auto"/>
        <w:ind w:firstLine="720"/>
        <w:jc w:val="both"/>
        <w:rPr>
          <w:rFonts w:eastAsia="SimSun"/>
          <w:sz w:val="24"/>
          <w:szCs w:val="24"/>
          <w:lang w:val="ru-RU" w:eastAsia="zh-CN"/>
        </w:rPr>
      </w:pPr>
      <w:r w:rsidRPr="00E32BE0">
        <w:rPr>
          <w:rFonts w:eastAsia="SimSun"/>
          <w:sz w:val="24"/>
          <w:szCs w:val="24"/>
          <w:lang w:val="ru-RU" w:eastAsia="zh-CN"/>
        </w:rPr>
        <w:t>Курсанти виконують щоденні тренування, зосереджені на вправі №20, дотримуючись принципу прогресивного навантаження.</w:t>
      </w:r>
    </w:p>
    <w:p w:rsidR="00E32BE0" w:rsidRPr="00E32BE0" w:rsidRDefault="00E32BE0" w:rsidP="00E32BE0">
      <w:pPr>
        <w:spacing w:after="0" w:line="240" w:lineRule="auto"/>
        <w:ind w:firstLine="720"/>
        <w:jc w:val="both"/>
        <w:rPr>
          <w:rFonts w:eastAsia="SimSun"/>
          <w:b/>
          <w:bCs/>
          <w:sz w:val="24"/>
          <w:szCs w:val="24"/>
          <w:lang w:eastAsia="zh-CN"/>
        </w:rPr>
      </w:pPr>
      <w:r w:rsidRPr="00E32BE0">
        <w:rPr>
          <w:rFonts w:eastAsia="SimSun"/>
          <w:b/>
          <w:sz w:val="24"/>
          <w:szCs w:val="24"/>
          <w:lang w:eastAsia="zh-CN"/>
        </w:rPr>
        <w:t>5.</w:t>
      </w:r>
      <w:r w:rsidRPr="00E32BE0">
        <w:rPr>
          <w:rFonts w:eastAsia="SimSun"/>
          <w:sz w:val="24"/>
          <w:szCs w:val="24"/>
          <w:lang w:eastAsia="zh-CN"/>
        </w:rPr>
        <w:t xml:space="preserve"> </w:t>
      </w:r>
      <w:r w:rsidRPr="00E32BE0">
        <w:rPr>
          <w:rFonts w:eastAsia="SimSun"/>
          <w:b/>
          <w:bCs/>
          <w:sz w:val="24"/>
          <w:szCs w:val="24"/>
          <w:lang w:eastAsia="zh-CN"/>
        </w:rPr>
        <w:t>Практичні рекомендації для військових підрозділів</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eastAsia="zh-CN"/>
        </w:rPr>
        <w:t>На основі отриманих результатів дослідження можна сформулювати практичні рекомендації щодо підвищення ефективності фізичної підготовки військовослужбовців та курсантів.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eastAsia="zh-CN"/>
        </w:rPr>
        <w:t xml:space="preserve">По-перше, доцільно впроваджувати систему публічного відображення результатів фізичної підготовленості, зокрема рейтингу виконання вправ, у приміщеннях підрозділів або на інформаційних екранах. </w:t>
      </w:r>
      <w:r w:rsidRPr="00E32BE0">
        <w:rPr>
          <w:rFonts w:eastAsia="SimSun"/>
          <w:sz w:val="24"/>
          <w:szCs w:val="24"/>
          <w:lang w:val="ru-RU" w:eastAsia="zh-CN"/>
        </w:rPr>
        <w:t>Такий підхід створює додатковий змагальний елемент у колективі та сприяє підвищенню мотивації військовослужбовців до регулярних тренувань.</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lastRenderedPageBreak/>
        <w:t>По-друге, ефективним інструментом навчання техніки виконання фізичних вправ є використання відеоінструктажів, які дозволяють наочно продемонструвати правильну техніку рухів, типові помилки та рекомендації щодо виконання вправ. Відеоматеріали можуть використовуватися як під час занять, так і для самостійного опрацювання військовослужбовцями.</w:t>
      </w:r>
    </w:p>
    <w:p w:rsidR="00E32BE0" w:rsidRPr="00E32BE0" w:rsidRDefault="00E32BE0" w:rsidP="00E32BE0">
      <w:pPr>
        <w:spacing w:after="0" w:line="240" w:lineRule="auto"/>
        <w:ind w:firstLine="720"/>
        <w:jc w:val="both"/>
        <w:rPr>
          <w:rFonts w:eastAsia="SimSun"/>
          <w:b/>
          <w:sz w:val="24"/>
          <w:szCs w:val="24"/>
          <w:lang w:val="ru-RU" w:eastAsia="zh-CN"/>
        </w:rPr>
      </w:pPr>
    </w:p>
    <w:p w:rsidR="00E32BE0" w:rsidRPr="00E32BE0" w:rsidRDefault="00E32BE0" w:rsidP="00E32BE0">
      <w:pPr>
        <w:spacing w:after="0" w:line="240" w:lineRule="auto"/>
        <w:ind w:firstLine="720"/>
        <w:jc w:val="right"/>
        <w:rPr>
          <w:rFonts w:eastAsia="SimSun"/>
          <w:i/>
          <w:sz w:val="24"/>
          <w:szCs w:val="24"/>
          <w:lang w:val="ru-RU" w:eastAsia="zh-CN"/>
        </w:rPr>
      </w:pPr>
      <w:r w:rsidRPr="00E32BE0">
        <w:rPr>
          <w:rFonts w:eastAsia="SimSun"/>
          <w:i/>
          <w:sz w:val="24"/>
          <w:szCs w:val="24"/>
          <w:lang w:val="ru-RU" w:eastAsia="zh-CN"/>
        </w:rPr>
        <w:t>Табл</w:t>
      </w:r>
      <w:r w:rsidRPr="00E32BE0">
        <w:rPr>
          <w:rFonts w:eastAsia="SimSun"/>
          <w:i/>
          <w:sz w:val="24"/>
          <w:szCs w:val="24"/>
          <w:lang w:eastAsia="zh-CN"/>
        </w:rPr>
        <w:t xml:space="preserve">иця </w:t>
      </w:r>
      <w:r w:rsidRPr="00E32BE0">
        <w:rPr>
          <w:rFonts w:eastAsia="SimSun"/>
          <w:i/>
          <w:sz w:val="24"/>
          <w:szCs w:val="24"/>
          <w:lang w:val="ru-RU" w:eastAsia="zh-CN"/>
        </w:rPr>
        <w:t xml:space="preserve">1. </w:t>
      </w:r>
    </w:p>
    <w:p w:rsidR="00E32BE0" w:rsidRPr="00E32BE0" w:rsidRDefault="00E32BE0" w:rsidP="00E32BE0">
      <w:pPr>
        <w:spacing w:after="0" w:line="240" w:lineRule="auto"/>
        <w:jc w:val="center"/>
        <w:rPr>
          <w:rFonts w:eastAsia="SimSun"/>
          <w:b/>
          <w:sz w:val="24"/>
          <w:szCs w:val="24"/>
          <w:lang w:val="ru-RU" w:eastAsia="zh-CN"/>
        </w:rPr>
      </w:pPr>
      <w:r w:rsidRPr="00E32BE0">
        <w:rPr>
          <w:rFonts w:eastAsia="SimSun"/>
          <w:b/>
          <w:bCs/>
          <w:sz w:val="24"/>
          <w:szCs w:val="24"/>
          <w:lang w:val="ru-RU" w:eastAsia="zh-CN"/>
        </w:rPr>
        <w:t>Зміст програми самостійного тренування (4-тижневий цикл)</w:t>
      </w:r>
    </w:p>
    <w:tbl>
      <w:tblPr>
        <w:tblStyle w:val="13"/>
        <w:tblW w:w="0" w:type="auto"/>
        <w:tblInd w:w="108" w:type="dxa"/>
        <w:tblBorders>
          <w:insideH w:val="none" w:sz="0" w:space="0" w:color="auto"/>
          <w:insideV w:val="none" w:sz="0" w:space="0" w:color="auto"/>
        </w:tblBorders>
        <w:tblLayout w:type="fixed"/>
        <w:tblLook w:val="04A0" w:firstRow="1" w:lastRow="0" w:firstColumn="1" w:lastColumn="0" w:noHBand="0" w:noVBand="1"/>
      </w:tblPr>
      <w:tblGrid>
        <w:gridCol w:w="1582"/>
        <w:gridCol w:w="1806"/>
        <w:gridCol w:w="2026"/>
        <w:gridCol w:w="1957"/>
        <w:gridCol w:w="1807"/>
      </w:tblGrid>
      <w:tr w:rsidR="00E32BE0" w:rsidRPr="00E32BE0" w:rsidTr="002D495E">
        <w:tc>
          <w:tcPr>
            <w:tcW w:w="1582" w:type="dxa"/>
            <w:tcBorders>
              <w:top w:val="single" w:sz="4" w:space="0" w:color="auto"/>
              <w:bottom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en-US" w:eastAsia="zh-CN"/>
              </w:rPr>
              <w:t>Тиждень/ Фаза</w:t>
            </w:r>
          </w:p>
        </w:tc>
        <w:tc>
          <w:tcPr>
            <w:tcW w:w="1806" w:type="dxa"/>
            <w:tcBorders>
              <w:top w:val="single" w:sz="4" w:space="0" w:color="auto"/>
              <w:bottom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en-US" w:eastAsia="zh-CN"/>
              </w:rPr>
              <w:t>Мета тренування</w:t>
            </w:r>
          </w:p>
        </w:tc>
        <w:tc>
          <w:tcPr>
            <w:tcW w:w="2026" w:type="dxa"/>
            <w:tcBorders>
              <w:top w:val="single" w:sz="4" w:space="0" w:color="auto"/>
              <w:bottom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en-US" w:eastAsia="zh-CN"/>
              </w:rPr>
              <w:t>Характеристика навантаження</w:t>
            </w:r>
          </w:p>
        </w:tc>
        <w:tc>
          <w:tcPr>
            <w:tcW w:w="1957" w:type="dxa"/>
            <w:tcBorders>
              <w:top w:val="single" w:sz="4" w:space="0" w:color="auto"/>
              <w:bottom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en-US" w:eastAsia="zh-CN"/>
              </w:rPr>
              <w:t>Основна вправа (№20)</w:t>
            </w:r>
          </w:p>
        </w:tc>
        <w:tc>
          <w:tcPr>
            <w:tcW w:w="1807" w:type="dxa"/>
            <w:tcBorders>
              <w:top w:val="single" w:sz="4" w:space="0" w:color="auto"/>
              <w:bottom w:val="single" w:sz="4" w:space="0" w:color="auto"/>
            </w:tcBorders>
            <w:vAlign w:val="center"/>
          </w:tcPr>
          <w:p w:rsidR="00E32BE0" w:rsidRPr="00E32BE0" w:rsidRDefault="00E32BE0" w:rsidP="00E32BE0">
            <w:pPr>
              <w:spacing w:after="0" w:line="240" w:lineRule="auto"/>
              <w:ind w:left="-108" w:right="-127" w:firstLine="108"/>
              <w:jc w:val="center"/>
              <w:rPr>
                <w:rFonts w:eastAsia="SimSun"/>
                <w:sz w:val="24"/>
                <w:szCs w:val="24"/>
                <w:lang w:val="ru-RU" w:eastAsia="zh-CN"/>
              </w:rPr>
            </w:pPr>
            <w:r w:rsidRPr="00E32BE0">
              <w:rPr>
                <w:rFonts w:eastAsia="SimSun"/>
                <w:sz w:val="24"/>
                <w:szCs w:val="24"/>
                <w:lang w:val="en-US" w:eastAsia="zh-CN"/>
              </w:rPr>
              <w:t>Додаткові (підвідні)</w:t>
            </w:r>
            <w:r w:rsidRPr="00E32BE0">
              <w:rPr>
                <w:rFonts w:eastAsia="SimSun"/>
                <w:sz w:val="24"/>
                <w:szCs w:val="24"/>
                <w:lang w:eastAsia="zh-CN"/>
              </w:rPr>
              <w:t xml:space="preserve"> </w:t>
            </w:r>
            <w:r w:rsidRPr="00E32BE0">
              <w:rPr>
                <w:rFonts w:eastAsia="SimSun"/>
                <w:sz w:val="24"/>
                <w:szCs w:val="24"/>
                <w:lang w:val="en-US" w:eastAsia="zh-CN"/>
              </w:rPr>
              <w:t>вправи</w:t>
            </w:r>
          </w:p>
        </w:tc>
      </w:tr>
      <w:tr w:rsidR="00E32BE0" w:rsidRPr="00E32BE0" w:rsidTr="002D495E">
        <w:tc>
          <w:tcPr>
            <w:tcW w:w="1582" w:type="dxa"/>
            <w:tcBorders>
              <w:top w:val="single" w:sz="4" w:space="0" w:color="auto"/>
            </w:tcBorders>
            <w:vAlign w:val="center"/>
          </w:tcPr>
          <w:p w:rsidR="00E32BE0" w:rsidRPr="00E32BE0" w:rsidRDefault="00E32BE0" w:rsidP="00E32BE0">
            <w:pPr>
              <w:spacing w:after="0" w:line="240" w:lineRule="auto"/>
              <w:jc w:val="both"/>
              <w:rPr>
                <w:rFonts w:eastAsia="SimSun"/>
                <w:sz w:val="24"/>
                <w:szCs w:val="24"/>
                <w:lang w:val="ru-RU" w:eastAsia="zh-CN"/>
              </w:rPr>
            </w:pPr>
            <w:r w:rsidRPr="00E32BE0">
              <w:rPr>
                <w:rFonts w:eastAsia="SimSun"/>
                <w:sz w:val="24"/>
                <w:szCs w:val="24"/>
                <w:lang w:val="en-US" w:eastAsia="zh-CN"/>
              </w:rPr>
              <w:t>1-й тиждень</w:t>
            </w:r>
            <w:r w:rsidRPr="00E32BE0">
              <w:rPr>
                <w:rFonts w:eastAsia="SimSun"/>
                <w:sz w:val="24"/>
                <w:szCs w:val="24"/>
                <w:lang w:eastAsia="zh-CN"/>
              </w:rPr>
              <w:t xml:space="preserve"> </w:t>
            </w:r>
            <w:r w:rsidRPr="00E32BE0">
              <w:rPr>
                <w:rFonts w:eastAsia="SimSun"/>
                <w:sz w:val="24"/>
                <w:szCs w:val="24"/>
                <w:lang w:val="en-US" w:eastAsia="zh-CN"/>
              </w:rPr>
              <w:t>Фаза адаптації</w:t>
            </w:r>
          </w:p>
        </w:tc>
        <w:tc>
          <w:tcPr>
            <w:tcW w:w="1806" w:type="dxa"/>
            <w:tcBorders>
              <w:top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Формування правильної техніки та підготовка м’язів до навантаження</w:t>
            </w:r>
          </w:p>
        </w:tc>
        <w:tc>
          <w:tcPr>
            <w:tcW w:w="2026" w:type="dxa"/>
            <w:tcBorders>
              <w:top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 xml:space="preserve">4-5 підходів; </w:t>
            </w:r>
          </w:p>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 xml:space="preserve">50-60% від максимального результату; відпочинок </w:t>
            </w:r>
          </w:p>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60-90 с</w:t>
            </w:r>
          </w:p>
        </w:tc>
        <w:tc>
          <w:tcPr>
            <w:tcW w:w="1957" w:type="dxa"/>
            <w:tcBorders>
              <w:top w:val="single" w:sz="4" w:space="0" w:color="auto"/>
            </w:tcBorders>
            <w:vAlign w:val="center"/>
          </w:tcPr>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Виконання вправи №20 у повільному темпі з контролем техніки</w:t>
            </w:r>
          </w:p>
        </w:tc>
        <w:tc>
          <w:tcPr>
            <w:tcW w:w="1807" w:type="dxa"/>
            <w:tcBorders>
              <w:top w:val="single" w:sz="4" w:space="0" w:color="auto"/>
            </w:tcBorders>
            <w:vAlign w:val="center"/>
          </w:tcPr>
          <w:p w:rsidR="00E32BE0" w:rsidRPr="00E32BE0" w:rsidRDefault="00E32BE0" w:rsidP="00E32BE0">
            <w:pPr>
              <w:spacing w:after="0" w:line="240" w:lineRule="auto"/>
              <w:ind w:right="-71"/>
              <w:jc w:val="center"/>
              <w:rPr>
                <w:rFonts w:eastAsia="SimSun"/>
                <w:sz w:val="24"/>
                <w:szCs w:val="24"/>
                <w:lang w:val="ru-RU" w:eastAsia="zh-CN"/>
              </w:rPr>
            </w:pPr>
            <w:r w:rsidRPr="00E32BE0">
              <w:rPr>
                <w:rFonts w:eastAsia="SimSun"/>
                <w:sz w:val="24"/>
                <w:szCs w:val="24"/>
                <w:lang w:val="ru-RU" w:eastAsia="zh-CN"/>
              </w:rPr>
              <w:t xml:space="preserve">Планка </w:t>
            </w:r>
          </w:p>
          <w:p w:rsidR="00E32BE0" w:rsidRPr="00E32BE0" w:rsidRDefault="00E32BE0" w:rsidP="00E32BE0">
            <w:pPr>
              <w:spacing w:after="0" w:line="240" w:lineRule="auto"/>
              <w:ind w:right="-71"/>
              <w:jc w:val="center"/>
              <w:rPr>
                <w:rFonts w:eastAsia="SimSun"/>
                <w:sz w:val="24"/>
                <w:szCs w:val="24"/>
                <w:lang w:val="ru-RU" w:eastAsia="zh-CN"/>
              </w:rPr>
            </w:pPr>
            <w:r w:rsidRPr="00E32BE0">
              <w:rPr>
                <w:rFonts w:eastAsia="SimSun"/>
                <w:sz w:val="24"/>
                <w:szCs w:val="24"/>
                <w:lang w:val="ru-RU" w:eastAsia="zh-CN"/>
              </w:rPr>
              <w:t>(30-40с); вправи на мобільність плечового поясу</w:t>
            </w:r>
          </w:p>
        </w:tc>
      </w:tr>
      <w:tr w:rsidR="00E32BE0" w:rsidRPr="00E32BE0" w:rsidTr="002D495E">
        <w:tc>
          <w:tcPr>
            <w:tcW w:w="1582" w:type="dxa"/>
            <w:vAlign w:val="center"/>
          </w:tcPr>
          <w:p w:rsidR="00E32BE0" w:rsidRPr="00E32BE0" w:rsidRDefault="00E32BE0" w:rsidP="00E32BE0">
            <w:pPr>
              <w:spacing w:before="240" w:after="0" w:line="240" w:lineRule="auto"/>
              <w:ind w:right="-108"/>
              <w:jc w:val="both"/>
              <w:rPr>
                <w:rFonts w:eastAsia="SimSun"/>
                <w:sz w:val="24"/>
                <w:szCs w:val="24"/>
                <w:lang w:val="ru-RU" w:eastAsia="zh-CN"/>
              </w:rPr>
            </w:pPr>
            <w:r w:rsidRPr="00E32BE0">
              <w:rPr>
                <w:rFonts w:eastAsia="SimSun"/>
                <w:sz w:val="24"/>
                <w:szCs w:val="24"/>
                <w:lang w:val="ru-RU" w:eastAsia="zh-CN"/>
              </w:rPr>
              <w:t>2-й тиждень</w:t>
            </w:r>
            <w:r w:rsidRPr="00E32BE0">
              <w:rPr>
                <w:rFonts w:eastAsia="SimSun"/>
                <w:sz w:val="24"/>
                <w:szCs w:val="24"/>
                <w:lang w:eastAsia="zh-CN"/>
              </w:rPr>
              <w:t xml:space="preserve"> </w:t>
            </w:r>
            <w:r w:rsidRPr="00E32BE0">
              <w:rPr>
                <w:rFonts w:eastAsia="SimSun"/>
                <w:sz w:val="24"/>
                <w:szCs w:val="24"/>
                <w:lang w:val="ru-RU" w:eastAsia="zh-CN"/>
              </w:rPr>
              <w:t>Фаза збільшення навантаження</w:t>
            </w:r>
          </w:p>
        </w:tc>
        <w:tc>
          <w:tcPr>
            <w:tcW w:w="1806"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Розвиток м’язової витривалості та стабілізації корпусу</w:t>
            </w:r>
          </w:p>
        </w:tc>
        <w:tc>
          <w:tcPr>
            <w:tcW w:w="2026"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 xml:space="preserve">5-6 підходів; </w:t>
            </w:r>
          </w:p>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60-70% від максимуму; відпочинок 60 с</w:t>
            </w:r>
          </w:p>
        </w:tc>
        <w:tc>
          <w:tcPr>
            <w:tcW w:w="1957"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Виконання вправи №20 у середньому темпі з повною амплітудою</w:t>
            </w:r>
          </w:p>
        </w:tc>
        <w:tc>
          <w:tcPr>
            <w:tcW w:w="1807"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Планка з поштовхами плечима; повільні відтискання від підлоги</w:t>
            </w:r>
          </w:p>
        </w:tc>
      </w:tr>
      <w:tr w:rsidR="00E32BE0" w:rsidRPr="00E32BE0" w:rsidTr="002D495E">
        <w:tc>
          <w:tcPr>
            <w:tcW w:w="1582" w:type="dxa"/>
            <w:vAlign w:val="center"/>
          </w:tcPr>
          <w:p w:rsidR="00E32BE0" w:rsidRPr="00E32BE0" w:rsidRDefault="00E32BE0" w:rsidP="00E32BE0">
            <w:pPr>
              <w:spacing w:before="240" w:after="0" w:line="240" w:lineRule="auto"/>
              <w:jc w:val="both"/>
              <w:rPr>
                <w:rFonts w:eastAsia="SimSun"/>
                <w:sz w:val="24"/>
                <w:szCs w:val="24"/>
                <w:lang w:val="ru-RU" w:eastAsia="zh-CN"/>
              </w:rPr>
            </w:pPr>
            <w:r w:rsidRPr="00E32BE0">
              <w:rPr>
                <w:rFonts w:eastAsia="SimSun"/>
                <w:sz w:val="24"/>
                <w:szCs w:val="24"/>
                <w:lang w:val="ru-RU" w:eastAsia="zh-CN"/>
              </w:rPr>
              <w:t>3-й тиждень</w:t>
            </w:r>
            <w:r w:rsidRPr="00E32BE0">
              <w:rPr>
                <w:rFonts w:eastAsia="SimSun"/>
                <w:sz w:val="24"/>
                <w:szCs w:val="24"/>
                <w:lang w:eastAsia="zh-CN"/>
              </w:rPr>
              <w:t xml:space="preserve"> </w:t>
            </w:r>
            <w:r w:rsidRPr="00E32BE0">
              <w:rPr>
                <w:rFonts w:eastAsia="SimSun"/>
                <w:sz w:val="24"/>
                <w:szCs w:val="24"/>
                <w:lang w:val="ru-RU" w:eastAsia="zh-CN"/>
              </w:rPr>
              <w:t>Фаза інтенсивного тренування</w:t>
            </w:r>
          </w:p>
        </w:tc>
        <w:tc>
          <w:tcPr>
            <w:tcW w:w="1806" w:type="dxa"/>
            <w:vAlign w:val="center"/>
          </w:tcPr>
          <w:p w:rsidR="00E32BE0" w:rsidRPr="00E32BE0" w:rsidRDefault="00E32BE0" w:rsidP="00E32BE0">
            <w:pPr>
              <w:spacing w:before="240" w:after="0" w:line="240" w:lineRule="auto"/>
              <w:ind w:left="-108"/>
              <w:jc w:val="center"/>
              <w:rPr>
                <w:rFonts w:eastAsia="SimSun"/>
                <w:sz w:val="24"/>
                <w:szCs w:val="24"/>
                <w:lang w:val="ru-RU" w:eastAsia="zh-CN"/>
              </w:rPr>
            </w:pPr>
            <w:r w:rsidRPr="00E32BE0">
              <w:rPr>
                <w:rFonts w:eastAsia="SimSun"/>
                <w:sz w:val="24"/>
                <w:szCs w:val="24"/>
                <w:lang w:val="ru-RU" w:eastAsia="zh-CN"/>
              </w:rPr>
              <w:t>Підвищення силової витривалості та продуктивності</w:t>
            </w:r>
          </w:p>
        </w:tc>
        <w:tc>
          <w:tcPr>
            <w:tcW w:w="2026"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6-7 підходів;</w:t>
            </w:r>
          </w:p>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70-80% від оновленого максимуму;відпочинок 45-60 с</w:t>
            </w:r>
          </w:p>
        </w:tc>
        <w:tc>
          <w:tcPr>
            <w:tcW w:w="1957"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Виконання вправи №20 у варіативному темпі</w:t>
            </w:r>
          </w:p>
        </w:tc>
        <w:tc>
          <w:tcPr>
            <w:tcW w:w="1807"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Вибухові відтискання; відтискання від підлоги вузьким хватом</w:t>
            </w:r>
          </w:p>
        </w:tc>
      </w:tr>
      <w:tr w:rsidR="00E32BE0" w:rsidRPr="00E32BE0" w:rsidTr="002D495E">
        <w:tc>
          <w:tcPr>
            <w:tcW w:w="1582" w:type="dxa"/>
            <w:vAlign w:val="center"/>
          </w:tcPr>
          <w:p w:rsidR="00E32BE0" w:rsidRPr="00E32BE0" w:rsidRDefault="00E32BE0" w:rsidP="00E32BE0">
            <w:pPr>
              <w:spacing w:before="240" w:after="0" w:line="240" w:lineRule="auto"/>
              <w:jc w:val="both"/>
              <w:rPr>
                <w:rFonts w:eastAsia="SimSun"/>
                <w:sz w:val="24"/>
                <w:szCs w:val="24"/>
                <w:lang w:val="ru-RU" w:eastAsia="zh-CN"/>
              </w:rPr>
            </w:pPr>
            <w:r w:rsidRPr="00E32BE0">
              <w:rPr>
                <w:rFonts w:eastAsia="SimSun"/>
                <w:sz w:val="24"/>
                <w:szCs w:val="24"/>
                <w:lang w:val="en-US" w:eastAsia="zh-CN"/>
              </w:rPr>
              <w:t>4-й тиждень</w:t>
            </w:r>
            <w:r w:rsidRPr="00E32BE0">
              <w:rPr>
                <w:rFonts w:eastAsia="SimSun"/>
                <w:sz w:val="24"/>
                <w:szCs w:val="24"/>
                <w:lang w:eastAsia="zh-CN"/>
              </w:rPr>
              <w:t xml:space="preserve"> </w:t>
            </w:r>
            <w:r w:rsidRPr="00E32BE0">
              <w:rPr>
                <w:rFonts w:eastAsia="SimSun"/>
                <w:sz w:val="24"/>
                <w:szCs w:val="24"/>
                <w:lang w:val="en-US" w:eastAsia="zh-CN"/>
              </w:rPr>
              <w:t>Фаза оптимізації</w:t>
            </w:r>
          </w:p>
        </w:tc>
        <w:tc>
          <w:tcPr>
            <w:tcW w:w="1806" w:type="dxa"/>
            <w:vAlign w:val="center"/>
          </w:tcPr>
          <w:p w:rsidR="00E32BE0" w:rsidRPr="00E32BE0" w:rsidRDefault="00E32BE0" w:rsidP="00E32BE0">
            <w:pPr>
              <w:spacing w:before="240" w:after="0" w:line="240" w:lineRule="auto"/>
              <w:ind w:left="-94"/>
              <w:jc w:val="center"/>
              <w:rPr>
                <w:rFonts w:eastAsia="SimSun"/>
                <w:sz w:val="24"/>
                <w:szCs w:val="24"/>
                <w:lang w:val="ru-RU" w:eastAsia="zh-CN"/>
              </w:rPr>
            </w:pPr>
            <w:r w:rsidRPr="00E32BE0">
              <w:rPr>
                <w:rFonts w:eastAsia="SimSun"/>
                <w:sz w:val="24"/>
                <w:szCs w:val="24"/>
                <w:lang w:val="ru-RU" w:eastAsia="zh-CN"/>
              </w:rPr>
              <w:t>Досягнення максимальної продуктивності перед тестуванням</w:t>
            </w:r>
          </w:p>
        </w:tc>
        <w:tc>
          <w:tcPr>
            <w:tcW w:w="2026"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 xml:space="preserve">5-6 підходів; чергування: </w:t>
            </w:r>
          </w:p>
          <w:p w:rsidR="00E32BE0" w:rsidRPr="00E32BE0" w:rsidRDefault="00E32BE0" w:rsidP="00E32BE0">
            <w:pPr>
              <w:spacing w:after="0" w:line="240" w:lineRule="auto"/>
              <w:jc w:val="center"/>
              <w:rPr>
                <w:rFonts w:eastAsia="SimSun"/>
                <w:sz w:val="24"/>
                <w:szCs w:val="24"/>
                <w:lang w:val="ru-RU" w:eastAsia="zh-CN"/>
              </w:rPr>
            </w:pPr>
            <w:r w:rsidRPr="00E32BE0">
              <w:rPr>
                <w:rFonts w:eastAsia="SimSun"/>
                <w:sz w:val="24"/>
                <w:szCs w:val="24"/>
                <w:lang w:val="ru-RU" w:eastAsia="zh-CN"/>
              </w:rPr>
              <w:t>80-90% (інтенсивні дні)/ 60% (відновл.); відпочинок 60 с</w:t>
            </w:r>
          </w:p>
        </w:tc>
        <w:tc>
          <w:tcPr>
            <w:tcW w:w="1957"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Контрольоване виконання вправи №20 з акцентом на техніку</w:t>
            </w:r>
          </w:p>
        </w:tc>
        <w:tc>
          <w:tcPr>
            <w:tcW w:w="1807" w:type="dxa"/>
            <w:vAlign w:val="center"/>
          </w:tcPr>
          <w:p w:rsidR="00E32BE0" w:rsidRPr="00E32BE0" w:rsidRDefault="00E32BE0" w:rsidP="00E32BE0">
            <w:pPr>
              <w:spacing w:before="240" w:after="0" w:line="240" w:lineRule="auto"/>
              <w:jc w:val="center"/>
              <w:rPr>
                <w:rFonts w:eastAsia="SimSun"/>
                <w:sz w:val="24"/>
                <w:szCs w:val="24"/>
                <w:lang w:val="ru-RU" w:eastAsia="zh-CN"/>
              </w:rPr>
            </w:pPr>
            <w:r w:rsidRPr="00E32BE0">
              <w:rPr>
                <w:rFonts w:eastAsia="SimSun"/>
                <w:sz w:val="24"/>
                <w:szCs w:val="24"/>
                <w:lang w:val="ru-RU" w:eastAsia="zh-CN"/>
              </w:rPr>
              <w:t>Статичні утримання (90° у лікті); темпові відтискання від підлоги</w:t>
            </w:r>
          </w:p>
        </w:tc>
      </w:tr>
    </w:tbl>
    <w:p w:rsidR="00E32BE0" w:rsidRPr="00E32BE0" w:rsidRDefault="00E32BE0" w:rsidP="00E32BE0">
      <w:pPr>
        <w:spacing w:after="0" w:line="240" w:lineRule="auto"/>
        <w:ind w:firstLine="720"/>
        <w:jc w:val="both"/>
        <w:rPr>
          <w:rFonts w:eastAsia="SimSun"/>
          <w:sz w:val="24"/>
          <w:szCs w:val="24"/>
          <w:lang w:val="ru-RU" w:eastAsia="zh-CN"/>
        </w:rPr>
      </w:pP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По-третє, рекомендується впроваджувати короткострокові тренувальні програми (мікроцикли) тривалістю 3-4 тижні, спрямовані на розвиток конкретних фізичних якостей, зокрема силової витривалості. Наявність чіткої структури тренувального процесу полегшує організацію самостійних занять та дозволяє системно підвищувати рівень фізичної підготовленості.</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По-четверте, доцільно використовувати елементи цифрового контролю виконання фізичних вправ, включаючи автоматизовані системи підрахунку повторень та відображення результатів. Використання подібних технологій дозволяє підвищити об’єктивність оцінювання, мінімізувати вплив людського фактору та забезпечити більш точний моніторинг фізичної підготовленості військовослужбовців.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Загалом застосування комплексного підходу, який поєднує методичне забезпечення тренувального процесу, сучасні інформаційні технології та систему мотиваційного рейтингу, може суттєво підвищити ефективність фізичної підготовки особового складу у військових підрозділах.</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lastRenderedPageBreak/>
        <w:t xml:space="preserve">Аналіз відповідей курсантів після впровадження програми самостійних тренувань, що включає відеоінструктаж, відображення рейтингу на екрані та систему мотивації, показав, що відображення рейтингу фізичної підготовленості на екрані є важливим мотиваційним чинником для значної частини курсантів (рис. 1). </w:t>
      </w:r>
    </w:p>
    <w:p w:rsidR="00E32BE0" w:rsidRPr="00E32BE0" w:rsidRDefault="00E32BE0" w:rsidP="00E32BE0">
      <w:pPr>
        <w:spacing w:after="0" w:line="240" w:lineRule="auto"/>
        <w:jc w:val="center"/>
        <w:rPr>
          <w:rFonts w:eastAsia="SimSun"/>
          <w:sz w:val="24"/>
          <w:szCs w:val="24"/>
          <w:lang w:val="ru-RU" w:eastAsia="zh-CN"/>
        </w:rPr>
      </w:pPr>
      <w:r w:rsidRPr="00E32BE0">
        <w:rPr>
          <w:rFonts w:eastAsia="SimSun"/>
          <w:noProof/>
          <w:sz w:val="24"/>
          <w:szCs w:val="24"/>
          <w:lang w:eastAsia="uk-UA"/>
        </w:rPr>
        <w:drawing>
          <wp:inline distT="0" distB="0" distL="0" distR="0">
            <wp:extent cx="5310187" cy="2619375"/>
            <wp:effectExtent l="0" t="0" r="508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32BE0" w:rsidRPr="00E32BE0" w:rsidRDefault="00E32BE0" w:rsidP="00E32BE0">
      <w:pPr>
        <w:spacing w:after="0" w:line="240" w:lineRule="auto"/>
        <w:ind w:firstLine="709"/>
        <w:jc w:val="both"/>
        <w:rPr>
          <w:sz w:val="24"/>
          <w:szCs w:val="24"/>
          <w:lang w:val="ru-RU"/>
        </w:rPr>
      </w:pPr>
      <w:r w:rsidRPr="00DA6CC0">
        <w:rPr>
          <w:sz w:val="24"/>
          <w:szCs w:val="24"/>
          <w:lang w:val="ru-RU"/>
        </w:rPr>
        <w:t>Рис. 1.</w:t>
      </w:r>
      <w:r w:rsidRPr="00E32BE0">
        <w:rPr>
          <w:sz w:val="24"/>
          <w:szCs w:val="24"/>
          <w:lang w:val="ru-RU"/>
        </w:rPr>
        <w:tab/>
        <w:t xml:space="preserve">Вплив відображення рейтингу на мотивацію курсантів до самостійних тренувань, </w:t>
      </w:r>
      <w:r w:rsidRPr="00E32BE0">
        <w:rPr>
          <w:sz w:val="24"/>
          <w:szCs w:val="24"/>
          <w:lang w:val="en-US"/>
        </w:rPr>
        <w:t>n </w:t>
      </w:r>
      <w:r w:rsidRPr="00E32BE0">
        <w:rPr>
          <w:sz w:val="24"/>
          <w:szCs w:val="24"/>
          <w:lang w:val="ru-RU"/>
        </w:rPr>
        <w:t>=</w:t>
      </w:r>
      <w:r w:rsidRPr="00E32BE0">
        <w:rPr>
          <w:sz w:val="24"/>
          <w:szCs w:val="24"/>
          <w:lang w:val="en-US"/>
        </w:rPr>
        <w:t> </w:t>
      </w:r>
      <w:r w:rsidRPr="00E32BE0">
        <w:rPr>
          <w:sz w:val="24"/>
          <w:szCs w:val="24"/>
          <w:lang w:val="ru-RU"/>
        </w:rPr>
        <w:t>104</w:t>
      </w:r>
    </w:p>
    <w:p w:rsidR="00E32BE0" w:rsidRPr="00E32BE0" w:rsidRDefault="00E32BE0" w:rsidP="00E32BE0">
      <w:pPr>
        <w:spacing w:after="0" w:line="240" w:lineRule="auto"/>
        <w:ind w:firstLine="709"/>
        <w:jc w:val="both"/>
        <w:rPr>
          <w:sz w:val="24"/>
          <w:szCs w:val="24"/>
          <w:lang w:val="ru-RU"/>
        </w:rPr>
      </w:pPr>
    </w:p>
    <w:p w:rsidR="00E32BE0" w:rsidRPr="00E32BE0" w:rsidRDefault="00E32BE0" w:rsidP="00E32BE0">
      <w:pPr>
        <w:spacing w:after="0" w:line="240" w:lineRule="auto"/>
        <w:ind w:firstLine="709"/>
        <w:jc w:val="both"/>
        <w:rPr>
          <w:sz w:val="24"/>
          <w:szCs w:val="24"/>
          <w:lang w:val="ru-RU"/>
        </w:rPr>
      </w:pPr>
      <w:r w:rsidRPr="00E32BE0">
        <w:rPr>
          <w:sz w:val="24"/>
          <w:szCs w:val="24"/>
          <w:lang w:val="ru-RU"/>
        </w:rPr>
        <w:t>Зокрема, 8,65% опитаних зазначили, що рейтинг дуже мотивує їх до покращення результатів, а ще 31,73% відповіли, що він мотивує їх до тренувань. Разом це становить 40,38% курсантів, для яких рейтинг виступає прямим стимулом до підвищення рівня фізичної підготовленості. Водночас третина опитаних (33,65%) зазначили нейтральну позицію, відповівши «50/50», що може свідчити про індивідуальні особливості мотивації або недостатній період впливу програми.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 xml:space="preserve">Важливим показником ефективності програми є зміна частоти самостійних тренувань курсантів (рис. 2). </w:t>
      </w:r>
    </w:p>
    <w:p w:rsidR="00E32BE0" w:rsidRPr="00E32BE0" w:rsidRDefault="00E32BE0" w:rsidP="00E32BE0">
      <w:pPr>
        <w:spacing w:after="0" w:line="240" w:lineRule="auto"/>
        <w:jc w:val="center"/>
        <w:rPr>
          <w:sz w:val="24"/>
          <w:szCs w:val="24"/>
          <w:lang w:val="ru-RU"/>
        </w:rPr>
      </w:pPr>
      <w:r w:rsidRPr="00E32BE0">
        <w:rPr>
          <w:rFonts w:ascii="Calibri" w:hAnsi="Calibri"/>
          <w:noProof/>
          <w:sz w:val="24"/>
          <w:szCs w:val="24"/>
          <w:lang w:eastAsia="uk-UA"/>
        </w:rPr>
        <w:drawing>
          <wp:inline distT="0" distB="0" distL="0" distR="0">
            <wp:extent cx="4895850" cy="272415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32BE0" w:rsidRDefault="00E32BE0" w:rsidP="00E32BE0">
      <w:pPr>
        <w:spacing w:after="0" w:line="240" w:lineRule="auto"/>
        <w:ind w:firstLine="709"/>
        <w:jc w:val="both"/>
        <w:rPr>
          <w:sz w:val="24"/>
          <w:szCs w:val="24"/>
          <w:lang w:val="ru-RU"/>
        </w:rPr>
      </w:pPr>
      <w:r w:rsidRPr="00DA6CC0">
        <w:rPr>
          <w:sz w:val="24"/>
          <w:szCs w:val="24"/>
          <w:lang w:val="ru-RU"/>
        </w:rPr>
        <w:t>Рис. 2.</w:t>
      </w:r>
      <w:r w:rsidRPr="00E32BE0">
        <w:rPr>
          <w:sz w:val="24"/>
          <w:szCs w:val="24"/>
          <w:lang w:val="ru-RU"/>
        </w:rPr>
        <w:tab/>
        <w:t xml:space="preserve">Зміна частоти самостійних тренувань після впровадження програми, </w:t>
      </w:r>
      <w:r w:rsidRPr="00E32BE0">
        <w:rPr>
          <w:sz w:val="24"/>
          <w:szCs w:val="24"/>
          <w:lang w:val="en-US"/>
        </w:rPr>
        <w:t>n </w:t>
      </w:r>
      <w:r w:rsidRPr="00E32BE0">
        <w:rPr>
          <w:sz w:val="24"/>
          <w:szCs w:val="24"/>
          <w:lang w:val="ru-RU"/>
        </w:rPr>
        <w:t>=</w:t>
      </w:r>
      <w:r w:rsidRPr="00E32BE0">
        <w:rPr>
          <w:sz w:val="24"/>
          <w:szCs w:val="24"/>
          <w:lang w:val="en-US"/>
        </w:rPr>
        <w:t> </w:t>
      </w:r>
      <w:r w:rsidRPr="00E32BE0">
        <w:rPr>
          <w:sz w:val="24"/>
          <w:szCs w:val="24"/>
          <w:lang w:val="ru-RU"/>
        </w:rPr>
        <w:t>104</w:t>
      </w:r>
    </w:p>
    <w:p w:rsidR="00E32BE0" w:rsidRPr="00E32BE0" w:rsidRDefault="00E32BE0" w:rsidP="00E32BE0">
      <w:pPr>
        <w:spacing w:after="0" w:line="240" w:lineRule="auto"/>
        <w:ind w:firstLine="709"/>
        <w:jc w:val="both"/>
        <w:rPr>
          <w:sz w:val="24"/>
          <w:szCs w:val="24"/>
          <w:lang w:val="ru-RU"/>
        </w:rPr>
      </w:pPr>
    </w:p>
    <w:p w:rsidR="00E32BE0" w:rsidRPr="00E32BE0" w:rsidRDefault="00E32BE0" w:rsidP="00E32BE0">
      <w:pPr>
        <w:spacing w:after="0" w:line="240" w:lineRule="auto"/>
        <w:ind w:firstLine="709"/>
        <w:jc w:val="both"/>
        <w:rPr>
          <w:sz w:val="24"/>
          <w:szCs w:val="24"/>
          <w:lang w:val="ru-RU"/>
        </w:rPr>
      </w:pPr>
      <w:r w:rsidRPr="00E32BE0">
        <w:rPr>
          <w:sz w:val="24"/>
          <w:szCs w:val="24"/>
          <w:lang w:val="ru-RU"/>
        </w:rPr>
        <w:t xml:space="preserve">Результати опитування показали, що після запуску програми 61 курсант (58,65%) почали тренуватися самостійно частіше, а ще 31 курсант (29,81%) зазначили часткове збільшення кількості самостійних тренувань. Таким чином, 88,46% курсантів </w:t>
      </w:r>
      <w:r w:rsidRPr="00E32BE0">
        <w:rPr>
          <w:sz w:val="24"/>
          <w:szCs w:val="24"/>
          <w:lang w:val="ru-RU"/>
        </w:rPr>
        <w:lastRenderedPageBreak/>
        <w:t>відзначили позитивну зміну у власній тренувальній активності, що свідчить про ефективність запропонованої системи мотивації.</w:t>
      </w:r>
    </w:p>
    <w:p w:rsid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Особливу роль у реалізації методики відігравав відеоінструктаж техніки виконання вправи, який був підготовлений та продемонстрований курсантам перед початком експерименту. За результатами анкетування 54</w:t>
      </w:r>
      <w:r w:rsidRPr="00E32BE0">
        <w:rPr>
          <w:rFonts w:eastAsia="SimSun"/>
          <w:sz w:val="24"/>
          <w:szCs w:val="24"/>
          <w:lang w:val="en-US" w:eastAsia="zh-CN"/>
        </w:rPr>
        <w:t> </w:t>
      </w:r>
      <w:r w:rsidRPr="00E32BE0">
        <w:rPr>
          <w:rFonts w:eastAsia="SimSun"/>
          <w:sz w:val="24"/>
          <w:szCs w:val="24"/>
          <w:lang w:val="ru-RU" w:eastAsia="zh-CN"/>
        </w:rPr>
        <w:t xml:space="preserve">курсанти (51,92%) зазначили, що відеоінструктаж допоміг їм краще зрозуміти техніку виконання вправи, а ще 39 курсантів (37,0%) відповіли, що він допоміг частково (рис. 3). </w:t>
      </w:r>
    </w:p>
    <w:p w:rsidR="0004467E" w:rsidRPr="00E32BE0" w:rsidRDefault="0004467E" w:rsidP="00E32BE0">
      <w:pPr>
        <w:spacing w:after="0" w:line="240" w:lineRule="auto"/>
        <w:ind w:firstLine="709"/>
        <w:jc w:val="both"/>
        <w:rPr>
          <w:rFonts w:eastAsia="SimSun"/>
          <w:sz w:val="24"/>
          <w:szCs w:val="24"/>
          <w:lang w:val="ru-RU" w:eastAsia="zh-CN"/>
        </w:rPr>
      </w:pPr>
    </w:p>
    <w:p w:rsidR="00E32BE0" w:rsidRPr="00E32BE0" w:rsidRDefault="00E32BE0" w:rsidP="00E32BE0">
      <w:pPr>
        <w:spacing w:after="0" w:line="240" w:lineRule="auto"/>
        <w:jc w:val="center"/>
        <w:rPr>
          <w:sz w:val="24"/>
          <w:szCs w:val="24"/>
          <w:lang w:val="ru-RU"/>
        </w:rPr>
      </w:pPr>
      <w:r w:rsidRPr="00E32BE0">
        <w:rPr>
          <w:rFonts w:ascii="Calibri" w:hAnsi="Calibri"/>
          <w:noProof/>
          <w:sz w:val="24"/>
          <w:szCs w:val="24"/>
          <w:lang w:eastAsia="uk-UA"/>
        </w:rPr>
        <w:drawing>
          <wp:inline distT="0" distB="0" distL="0" distR="0">
            <wp:extent cx="4933950" cy="2809875"/>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32BE0" w:rsidRDefault="00E32BE0" w:rsidP="00E32BE0">
      <w:pPr>
        <w:spacing w:after="0" w:line="240" w:lineRule="auto"/>
        <w:ind w:firstLine="709"/>
        <w:jc w:val="both"/>
        <w:rPr>
          <w:sz w:val="24"/>
          <w:szCs w:val="24"/>
          <w:lang w:val="ru-RU"/>
        </w:rPr>
      </w:pPr>
      <w:r w:rsidRPr="00DA6CC0">
        <w:rPr>
          <w:sz w:val="24"/>
          <w:szCs w:val="24"/>
          <w:lang w:val="ru-RU"/>
        </w:rPr>
        <w:t>Рис. 3.</w:t>
      </w:r>
      <w:r w:rsidRPr="00E32BE0">
        <w:rPr>
          <w:sz w:val="24"/>
          <w:szCs w:val="24"/>
          <w:lang w:val="ru-RU"/>
        </w:rPr>
        <w:tab/>
        <w:t xml:space="preserve">Оцінка ефективності відеоінструктажу щодо техніки виконання вправи, </w:t>
      </w:r>
      <w:r w:rsidRPr="00E32BE0">
        <w:rPr>
          <w:sz w:val="24"/>
          <w:szCs w:val="24"/>
          <w:lang w:val="en-US"/>
        </w:rPr>
        <w:t>n </w:t>
      </w:r>
      <w:r w:rsidRPr="00E32BE0">
        <w:rPr>
          <w:sz w:val="24"/>
          <w:szCs w:val="24"/>
          <w:lang w:val="ru-RU"/>
        </w:rPr>
        <w:t>=</w:t>
      </w:r>
      <w:r w:rsidRPr="00E32BE0">
        <w:rPr>
          <w:sz w:val="24"/>
          <w:szCs w:val="24"/>
          <w:lang w:val="en-US"/>
        </w:rPr>
        <w:t> </w:t>
      </w:r>
      <w:r w:rsidRPr="00E32BE0">
        <w:rPr>
          <w:sz w:val="24"/>
          <w:szCs w:val="24"/>
          <w:lang w:val="ru-RU"/>
        </w:rPr>
        <w:t>104</w:t>
      </w:r>
    </w:p>
    <w:p w:rsidR="00E32BE0" w:rsidRPr="00E32BE0" w:rsidRDefault="00E32BE0" w:rsidP="00E32BE0">
      <w:pPr>
        <w:spacing w:after="0" w:line="240" w:lineRule="auto"/>
        <w:ind w:firstLine="709"/>
        <w:jc w:val="both"/>
        <w:rPr>
          <w:sz w:val="24"/>
          <w:szCs w:val="24"/>
          <w:lang w:val="ru-RU"/>
        </w:rPr>
      </w:pPr>
    </w:p>
    <w:p w:rsidR="00E32BE0" w:rsidRPr="00E32BE0" w:rsidRDefault="00E32BE0" w:rsidP="00E32BE0">
      <w:pPr>
        <w:spacing w:after="0" w:line="240" w:lineRule="auto"/>
        <w:ind w:firstLine="709"/>
        <w:jc w:val="both"/>
        <w:rPr>
          <w:sz w:val="24"/>
          <w:szCs w:val="24"/>
          <w:lang w:val="ru-RU"/>
        </w:rPr>
      </w:pPr>
      <w:r w:rsidRPr="00E32BE0">
        <w:rPr>
          <w:sz w:val="24"/>
          <w:szCs w:val="24"/>
          <w:lang w:val="ru-RU"/>
        </w:rPr>
        <w:t>Таким чином, 89,42% опитаних позитивно оцінили використання відеоматеріалів у процесі навчання, що підтверджує ефективність візуальних засобів навчання у системі фізичної підготовки.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Важливим аспектом дослідження було також визначення рівня зрозумілості запропонованої 4-тижневої методики тренування. Більшість курсантів (78,85%) зазначили, що методика є зрозумілою або повністю зрозумілою для самостійного виконання.</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Лише незначна частина респондентів вказала на недостатній рівень зрозумілості, що може бути пов’язано з індивідуальними особливостями сприйняття інформації або необхідністю додаткового інструктажу.</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Ще одним важливим показником ефективності програми стала самооцінка курсантами покращення власних результатів. Згідно з результатами опитування, 63,46% курсантів вже відчувають покращення результатів виконання вправи, тоді як 20,20% респондентів відповіли, що їм важко оцінити зміни на цьому етапі, лише 16,35% курсантів зазначили, що поки не відчувають суттєвих змін.</w:t>
      </w:r>
    </w:p>
    <w:p w:rsidR="00E32BE0" w:rsidRPr="00E32BE0" w:rsidRDefault="00E32BE0" w:rsidP="00E32BE0">
      <w:pPr>
        <w:spacing w:after="0" w:line="240" w:lineRule="auto"/>
        <w:ind w:firstLine="709"/>
        <w:jc w:val="both"/>
        <w:rPr>
          <w:rFonts w:eastAsia="SimSun"/>
          <w:sz w:val="24"/>
          <w:szCs w:val="24"/>
          <w:lang w:eastAsia="zh-CN"/>
        </w:rPr>
      </w:pPr>
      <w:r w:rsidRPr="00E32BE0">
        <w:rPr>
          <w:rFonts w:eastAsia="SimSun"/>
          <w:sz w:val="24"/>
          <w:szCs w:val="24"/>
          <w:lang w:val="ru-RU" w:eastAsia="zh-CN"/>
        </w:rPr>
        <w:t xml:space="preserve">Для узагальненої оцінки ефективності впровадженої програми самостійних тренувань було використано інтегральний показник </w:t>
      </w:r>
      <w:r w:rsidRPr="00E32BE0">
        <w:rPr>
          <w:rFonts w:eastAsia="SimSun"/>
          <w:sz w:val="24"/>
          <w:szCs w:val="24"/>
          <w:lang w:val="en-US" w:eastAsia="zh-CN"/>
        </w:rPr>
        <w:t>Program</w:t>
      </w:r>
      <w:r w:rsidRPr="00E32BE0">
        <w:rPr>
          <w:rFonts w:eastAsia="SimSun"/>
          <w:sz w:val="24"/>
          <w:szCs w:val="24"/>
          <w:lang w:val="ru-RU" w:eastAsia="zh-CN"/>
        </w:rPr>
        <w:t xml:space="preserve"> </w:t>
      </w:r>
      <w:r w:rsidRPr="00E32BE0">
        <w:rPr>
          <w:rFonts w:eastAsia="SimSun"/>
          <w:sz w:val="24"/>
          <w:szCs w:val="24"/>
          <w:lang w:val="en-US" w:eastAsia="zh-CN"/>
        </w:rPr>
        <w:t>Impact</w:t>
      </w:r>
      <w:r w:rsidRPr="00E32BE0">
        <w:rPr>
          <w:rFonts w:eastAsia="SimSun"/>
          <w:sz w:val="24"/>
          <w:szCs w:val="24"/>
          <w:lang w:val="ru-RU" w:eastAsia="zh-CN"/>
        </w:rPr>
        <w:t xml:space="preserve"> </w:t>
      </w:r>
      <w:r w:rsidRPr="00E32BE0">
        <w:rPr>
          <w:rFonts w:eastAsia="SimSun"/>
          <w:sz w:val="24"/>
          <w:szCs w:val="24"/>
          <w:lang w:val="en-US" w:eastAsia="zh-CN"/>
        </w:rPr>
        <w:t>Index</w:t>
      </w:r>
      <w:r w:rsidRPr="00E32BE0">
        <w:rPr>
          <w:rFonts w:eastAsia="SimSun"/>
          <w:sz w:val="24"/>
          <w:szCs w:val="24"/>
          <w:lang w:val="ru-RU" w:eastAsia="zh-CN"/>
        </w:rPr>
        <w:t xml:space="preserve"> (</w:t>
      </w:r>
      <w:r w:rsidRPr="00E32BE0">
        <w:rPr>
          <w:rFonts w:eastAsia="SimSun"/>
          <w:sz w:val="24"/>
          <w:szCs w:val="24"/>
          <w:lang w:val="en-US" w:eastAsia="zh-CN"/>
        </w:rPr>
        <w:t>PII</w:t>
      </w:r>
      <w:r w:rsidRPr="00E32BE0">
        <w:rPr>
          <w:rFonts w:eastAsia="SimSun"/>
          <w:sz w:val="24"/>
          <w:szCs w:val="24"/>
          <w:lang w:val="ru-RU" w:eastAsia="zh-CN"/>
        </w:rPr>
        <w:t xml:space="preserve">), який відображає сумарний вплив основних компонентів програми на поведінкові та мотиваційні характеристики курсантів. </w:t>
      </w:r>
      <w:r w:rsidRPr="00E32BE0">
        <w:rPr>
          <w:rFonts w:eastAsia="SimSun"/>
          <w:sz w:val="24"/>
          <w:szCs w:val="24"/>
          <w:lang w:eastAsia="zh-CN"/>
        </w:rPr>
        <w:t xml:space="preserve">За результатами опитування було отримано такі значення показників: мотиваційний вплив рейтингу – 40,38%; збільшення частоти самостійних тренувань – 88,46%; зрозумілість методики – 78,85%; ефективність відеоінструктажу – 89,42%; самооцінка покращення результатів – 63,46%. Таким чином інтегральний показник ефективності програми становить: </w:t>
      </w:r>
      <w:r w:rsidRPr="00E32BE0">
        <w:rPr>
          <w:rFonts w:eastAsia="SimSun"/>
          <w:sz w:val="24"/>
          <w:szCs w:val="24"/>
          <w:lang w:val="en-US" w:eastAsia="zh-CN"/>
        </w:rPr>
        <w:t>PII</w:t>
      </w:r>
      <w:r w:rsidRPr="00E32BE0">
        <w:rPr>
          <w:rFonts w:eastAsia="SimSun"/>
          <w:sz w:val="24"/>
          <w:szCs w:val="24"/>
          <w:lang w:eastAsia="zh-CN"/>
        </w:rPr>
        <w:t xml:space="preserve">=72,1% (рис. 4). </w:t>
      </w:r>
    </w:p>
    <w:p w:rsidR="002D495E" w:rsidRDefault="002D495E">
      <w:pPr>
        <w:spacing w:after="160" w:line="259" w:lineRule="auto"/>
        <w:rPr>
          <w:rFonts w:eastAsia="SimSun"/>
          <w:b/>
          <w:bCs/>
          <w:sz w:val="24"/>
          <w:szCs w:val="24"/>
          <w:lang w:val="ru-RU" w:eastAsia="zh-CN"/>
        </w:rPr>
      </w:pPr>
      <w:r>
        <w:rPr>
          <w:rFonts w:eastAsia="SimSun"/>
          <w:b/>
          <w:bCs/>
          <w:sz w:val="24"/>
          <w:szCs w:val="24"/>
          <w:lang w:val="ru-RU" w:eastAsia="zh-CN"/>
        </w:rPr>
        <w:br w:type="page"/>
      </w:r>
    </w:p>
    <w:p w:rsidR="002D495E" w:rsidRDefault="002D495E" w:rsidP="00E32BE0">
      <w:pPr>
        <w:spacing w:after="0" w:line="240" w:lineRule="auto"/>
        <w:ind w:firstLine="709"/>
        <w:jc w:val="both"/>
        <w:rPr>
          <w:rFonts w:eastAsia="SimSun"/>
          <w:b/>
          <w:bCs/>
          <w:sz w:val="24"/>
          <w:szCs w:val="24"/>
          <w:lang w:val="ru-RU" w:eastAsia="zh-CN"/>
        </w:rPr>
      </w:pPr>
    </w:p>
    <w:p w:rsidR="002D495E" w:rsidRDefault="002D495E" w:rsidP="002D495E">
      <w:pPr>
        <w:spacing w:after="0" w:line="240" w:lineRule="auto"/>
        <w:ind w:firstLine="709"/>
        <w:jc w:val="both"/>
        <w:rPr>
          <w:rFonts w:eastAsia="SimSun"/>
          <w:b/>
          <w:bCs/>
          <w:sz w:val="24"/>
          <w:szCs w:val="24"/>
          <w:lang w:val="ru-RU" w:eastAsia="zh-CN"/>
        </w:rPr>
      </w:pPr>
      <w:r w:rsidRPr="002D495E">
        <w:rPr>
          <w:rFonts w:eastAsia="SimSun"/>
          <w:b/>
          <w:bCs/>
          <w:noProof/>
          <w:sz w:val="24"/>
          <w:szCs w:val="24"/>
          <w:lang w:eastAsia="uk-UA"/>
        </w:rPr>
        <w:drawing>
          <wp:inline distT="0" distB="0" distL="0" distR="0">
            <wp:extent cx="5295900" cy="3000375"/>
            <wp:effectExtent l="0" t="0" r="0" b="0"/>
            <wp:docPr id="9"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2D495E">
        <w:rPr>
          <w:rFonts w:eastAsia="SimSun"/>
          <w:b/>
          <w:bCs/>
          <w:sz w:val="24"/>
          <w:szCs w:val="24"/>
          <w:lang w:val="ru-RU" w:eastAsia="zh-CN"/>
        </w:rPr>
        <w:t xml:space="preserve"> </w:t>
      </w:r>
    </w:p>
    <w:p w:rsidR="002D495E" w:rsidRPr="00E32BE0" w:rsidRDefault="002D495E" w:rsidP="002D495E">
      <w:pPr>
        <w:spacing w:after="0" w:line="240" w:lineRule="auto"/>
        <w:ind w:firstLine="709"/>
        <w:jc w:val="both"/>
        <w:rPr>
          <w:sz w:val="24"/>
          <w:szCs w:val="24"/>
        </w:rPr>
      </w:pPr>
      <w:r w:rsidRPr="00DA6CC0">
        <w:rPr>
          <w:sz w:val="24"/>
          <w:szCs w:val="24"/>
          <w:lang w:val="en-US"/>
        </w:rPr>
        <w:t>Рис.4</w:t>
      </w:r>
      <w:r w:rsidRPr="00DA6CC0">
        <w:rPr>
          <w:sz w:val="24"/>
          <w:szCs w:val="24"/>
        </w:rPr>
        <w:tab/>
      </w:r>
      <w:r w:rsidRPr="00E32BE0">
        <w:rPr>
          <w:sz w:val="24"/>
          <w:szCs w:val="24"/>
          <w:lang w:val="en-US"/>
        </w:rPr>
        <w:t>Program Impact Index – інтегральна оцінка ефективності програми тренування</w:t>
      </w:r>
      <w:r w:rsidRPr="00E32BE0">
        <w:rPr>
          <w:sz w:val="24"/>
          <w:szCs w:val="24"/>
        </w:rPr>
        <w:t xml:space="preserve">, </w:t>
      </w:r>
      <w:r w:rsidRPr="00E32BE0">
        <w:rPr>
          <w:sz w:val="24"/>
          <w:szCs w:val="24"/>
          <w:lang w:val="en-US"/>
        </w:rPr>
        <w:t>n = 104</w:t>
      </w:r>
    </w:p>
    <w:p w:rsidR="0004467E" w:rsidRDefault="0004467E" w:rsidP="00E32BE0">
      <w:pPr>
        <w:spacing w:after="0" w:line="240" w:lineRule="auto"/>
        <w:ind w:firstLine="709"/>
        <w:jc w:val="both"/>
        <w:rPr>
          <w:rFonts w:eastAsia="SimSun"/>
          <w:b/>
          <w:bCs/>
          <w:sz w:val="24"/>
          <w:szCs w:val="24"/>
          <w:lang w:val="ru-RU" w:eastAsia="zh-CN"/>
        </w:rPr>
      </w:pPr>
    </w:p>
    <w:p w:rsidR="00E32BE0" w:rsidRPr="0004467E" w:rsidRDefault="00E32BE0" w:rsidP="00E32BE0">
      <w:pPr>
        <w:spacing w:after="0" w:line="240" w:lineRule="auto"/>
        <w:ind w:firstLine="709"/>
        <w:jc w:val="both"/>
        <w:rPr>
          <w:rFonts w:eastAsia="SimSun"/>
          <w:sz w:val="24"/>
          <w:szCs w:val="24"/>
          <w:lang w:val="ru-RU" w:eastAsia="zh-CN"/>
        </w:rPr>
      </w:pPr>
      <w:r w:rsidRPr="00E32BE0">
        <w:rPr>
          <w:rFonts w:eastAsia="SimSun"/>
          <w:b/>
          <w:bCs/>
          <w:sz w:val="24"/>
          <w:szCs w:val="24"/>
          <w:lang w:val="ru-RU" w:eastAsia="zh-CN"/>
        </w:rPr>
        <w:t>Дискусія</w:t>
      </w:r>
      <w:r w:rsidR="0004467E">
        <w:rPr>
          <w:rFonts w:eastAsia="SimSun"/>
          <w:b/>
          <w:bCs/>
          <w:sz w:val="24"/>
          <w:szCs w:val="24"/>
          <w:lang w:val="ru-RU" w:eastAsia="zh-CN"/>
        </w:rPr>
        <w:t xml:space="preserve">. </w:t>
      </w:r>
      <w:r w:rsidRPr="00E32BE0">
        <w:rPr>
          <w:rFonts w:eastAsia="SimSun"/>
          <w:sz w:val="24"/>
          <w:szCs w:val="24"/>
          <w:lang w:val="ru-RU" w:eastAsia="zh-CN"/>
        </w:rPr>
        <w:t>Отримані результати свідчать про доцільність подальшого використання цифрових та візуальних інструментів у системі фізичної підготовки курсантів, а також про перспективність впровадження подібних програм у практику підготовки військовослужбовців</w:t>
      </w:r>
      <w:r w:rsidRPr="0004467E">
        <w:rPr>
          <w:rFonts w:eastAsia="SimSun"/>
          <w:sz w:val="24"/>
          <w:szCs w:val="24"/>
          <w:lang w:val="ru-RU" w:eastAsia="zh-CN"/>
        </w:rPr>
        <w:t>.</w:t>
      </w:r>
      <w:r w:rsidR="002D495E" w:rsidRPr="0004467E">
        <w:rPr>
          <w:rFonts w:ascii="Calibri" w:hAnsi="Calibri"/>
          <w:noProof/>
          <w:sz w:val="24"/>
          <w:szCs w:val="24"/>
          <w:lang w:eastAsia="uk-UA"/>
        </w:rPr>
        <w:t xml:space="preserve">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Отримані результати дослідження свідчать про позитивний вплив програми самостійних тренувань на рівень тренувальної активності та мотивації курсантів до виконання вправи №20. Зокрема, збільшення частоти самостійних тренувань у 88,46% респондентів та позитивна оцінка відеоінструктажу (89,42%) підтверджують ефективність поєднання методичних рекомендацій, цифрових навчальних матеріалів та рейтингової системи мотивації.</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Подібні результати узгоджуються з висновками міжнародних досліджень [</w:t>
      </w:r>
      <w:r w:rsidR="003D6B4F">
        <w:fldChar w:fldCharType="begin"/>
      </w:r>
      <w:r w:rsidR="003D6B4F">
        <w:instrText xml:space="preserve"> REF _Ref225091833 \r</w:instrText>
      </w:r>
      <w:r w:rsidR="003D6B4F">
        <w:instrText xml:space="preserve"> \h  \* MERGEFORMAT </w:instrText>
      </w:r>
      <w:r w:rsidR="003D6B4F">
        <w:fldChar w:fldCharType="separate"/>
      </w:r>
      <w:r w:rsidRPr="00E32BE0">
        <w:rPr>
          <w:rFonts w:eastAsia="SimSun"/>
          <w:sz w:val="24"/>
          <w:szCs w:val="24"/>
          <w:lang w:val="ru-RU" w:eastAsia="zh-CN"/>
        </w:rPr>
        <w:t>10</w:t>
      </w:r>
      <w:r w:rsidR="003D6B4F">
        <w:fldChar w:fldCharType="end"/>
      </w:r>
      <w:r w:rsidRPr="00E32BE0">
        <w:rPr>
          <w:rFonts w:eastAsia="SimSun"/>
          <w:sz w:val="24"/>
          <w:szCs w:val="24"/>
          <w:lang w:val="ru-RU" w:eastAsia="zh-CN"/>
        </w:rPr>
        <w:t>,</w:t>
      </w:r>
      <w:r w:rsidR="003D6B4F">
        <w:fldChar w:fldCharType="begin"/>
      </w:r>
      <w:r w:rsidR="003D6B4F">
        <w:instrText xml:space="preserve"> REF _Ref225091888 \r \h  \* MERGEFORMAT </w:instrText>
      </w:r>
      <w:r w:rsidR="003D6B4F">
        <w:fldChar w:fldCharType="separate"/>
      </w:r>
      <w:r w:rsidRPr="00E32BE0">
        <w:rPr>
          <w:rFonts w:eastAsia="SimSun"/>
          <w:sz w:val="24"/>
          <w:szCs w:val="24"/>
          <w:lang w:val="ru-RU" w:eastAsia="zh-CN"/>
        </w:rPr>
        <w:t>12</w:t>
      </w:r>
      <w:r w:rsidR="003D6B4F">
        <w:fldChar w:fldCharType="end"/>
      </w:r>
      <w:r w:rsidRPr="00E32BE0">
        <w:rPr>
          <w:rFonts w:eastAsia="SimSun"/>
          <w:sz w:val="24"/>
          <w:szCs w:val="24"/>
          <w:lang w:val="ru-RU" w:eastAsia="zh-CN"/>
        </w:rPr>
        <w:t>,</w:t>
      </w:r>
      <w:r w:rsidR="003D6B4F">
        <w:fldChar w:fldCharType="begin"/>
      </w:r>
      <w:r w:rsidR="003D6B4F">
        <w:instrText xml:space="preserve"> REF _Ref225091899 \r \h  \* MERGEFORMAT </w:instrText>
      </w:r>
      <w:r w:rsidR="003D6B4F">
        <w:fldChar w:fldCharType="separate"/>
      </w:r>
      <w:r w:rsidRPr="00E32BE0">
        <w:rPr>
          <w:rFonts w:eastAsia="SimSun"/>
          <w:sz w:val="24"/>
          <w:szCs w:val="24"/>
          <w:lang w:val="ru-RU" w:eastAsia="zh-CN"/>
        </w:rPr>
        <w:t>13</w:t>
      </w:r>
      <w:r w:rsidR="003D6B4F">
        <w:fldChar w:fldCharType="end"/>
      </w:r>
      <w:r w:rsidRPr="00E32BE0">
        <w:rPr>
          <w:rFonts w:eastAsia="SimSun"/>
          <w:sz w:val="24"/>
          <w:szCs w:val="24"/>
          <w:lang w:val="ru-RU" w:eastAsia="zh-CN"/>
        </w:rPr>
        <w:t>,</w:t>
      </w:r>
      <w:r w:rsidR="003D6B4F">
        <w:fldChar w:fldCharType="begin"/>
      </w:r>
      <w:r w:rsidR="003D6B4F">
        <w:instrText xml:space="preserve"> REF _Ref225091980 \r \h  \* MERGEFORMAT </w:instrText>
      </w:r>
      <w:r w:rsidR="003D6B4F">
        <w:fldChar w:fldCharType="separate"/>
      </w:r>
      <w:r w:rsidRPr="00E32BE0">
        <w:rPr>
          <w:rFonts w:eastAsia="SimSun"/>
          <w:sz w:val="24"/>
          <w:szCs w:val="24"/>
          <w:lang w:val="ru-RU" w:eastAsia="zh-CN"/>
        </w:rPr>
        <w:t>15</w:t>
      </w:r>
      <w:r w:rsidR="003D6B4F">
        <w:fldChar w:fldCharType="end"/>
      </w:r>
      <w:r w:rsidRPr="00E32BE0">
        <w:rPr>
          <w:rFonts w:eastAsia="SimSun"/>
          <w:sz w:val="24"/>
          <w:szCs w:val="24"/>
          <w:lang w:val="ru-RU" w:eastAsia="zh-CN"/>
        </w:rPr>
        <w:t>] у сфері військової фізичної підготовки. Зокрема, у систематичному огляді програм фізичної підготовки військовослужбовців встановлено, що використання нетрадиційних підходів до тренування (включаючи функціональні вправи, силові вправи з власною вагою та комбіновані методики) забезпечує більш виражене покращення силової витривалості та функціональної працездатності порівняно з традиційними програмами фізичної підготовки [</w:t>
      </w:r>
      <w:r w:rsidR="003D6B4F">
        <w:fldChar w:fldCharType="begin"/>
      </w:r>
      <w:r w:rsidR="003D6B4F">
        <w:instrText xml:space="preserve"> REF _Ref225092162 \r \h  \* MERGEFORMAT </w:instrText>
      </w:r>
      <w:r w:rsidR="003D6B4F">
        <w:fldChar w:fldCharType="separate"/>
      </w:r>
      <w:r w:rsidRPr="00E32BE0">
        <w:rPr>
          <w:rFonts w:eastAsia="SimSun"/>
          <w:sz w:val="24"/>
          <w:szCs w:val="24"/>
          <w:lang w:val="ru-RU" w:eastAsia="zh-CN"/>
        </w:rPr>
        <w:t>16</w:t>
      </w:r>
      <w:r w:rsidR="003D6B4F">
        <w:fldChar w:fldCharType="end"/>
      </w:r>
      <w:r w:rsidRPr="00E32BE0">
        <w:rPr>
          <w:rFonts w:eastAsia="SimSun"/>
          <w:sz w:val="24"/>
          <w:szCs w:val="24"/>
          <w:lang w:val="ru-RU" w:eastAsia="zh-CN"/>
        </w:rPr>
        <w:t xml:space="preserve">]. Такі методики позитивно впливають на силові показники, м’язову витривалість та професійно важливі фізичні якості військовослужбовців.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Результати дослідження також підтверджують положення теорії силового тренування [</w:t>
      </w:r>
      <w:r w:rsidR="003D6B4F">
        <w:fldChar w:fldCharType="begin"/>
      </w:r>
      <w:r w:rsidR="003D6B4F">
        <w:instrText xml:space="preserve"> REF _Ref225091778 \r \h  \* MERGEFORMAT </w:instrText>
      </w:r>
      <w:r w:rsidR="003D6B4F">
        <w:fldChar w:fldCharType="separate"/>
      </w:r>
      <w:r w:rsidRPr="00E32BE0">
        <w:t>5</w:t>
      </w:r>
      <w:r w:rsidR="003D6B4F">
        <w:fldChar w:fldCharType="end"/>
      </w:r>
      <w:r w:rsidRPr="00E32BE0">
        <w:rPr>
          <w:rFonts w:eastAsia="SimSun"/>
          <w:sz w:val="24"/>
          <w:szCs w:val="24"/>
          <w:lang w:val="ru-RU" w:eastAsia="zh-CN"/>
        </w:rPr>
        <w:t>,</w:t>
      </w:r>
      <w:r w:rsidR="003D6B4F">
        <w:fldChar w:fldCharType="begin"/>
      </w:r>
      <w:r w:rsidR="003D6B4F">
        <w:instrText xml:space="preserve"> REF _Ref225091817 \r \h  \* MERGEFORMAT </w:instrText>
      </w:r>
      <w:r w:rsidR="003D6B4F">
        <w:fldChar w:fldCharType="separate"/>
      </w:r>
      <w:r w:rsidRPr="00E32BE0">
        <w:t>8</w:t>
      </w:r>
      <w:r w:rsidR="003D6B4F">
        <w:fldChar w:fldCharType="end"/>
      </w:r>
      <w:r w:rsidRPr="00E32BE0">
        <w:rPr>
          <w:rFonts w:eastAsia="SimSun"/>
          <w:sz w:val="24"/>
          <w:szCs w:val="24"/>
          <w:lang w:val="ru-RU" w:eastAsia="zh-CN"/>
        </w:rPr>
        <w:t>], згідно з якою систематичне виконання вправ із власною вагою тіла сприяє розвитку силових якостей і підвищенню функціональних можливостей організму. Доведено, що силові тренування стимулюють адаптаційні зміни нервово-м’язової системи та сприяють підвищенню силової витривалості, що безпосередньо впливає на результати виконання вправ типу віджимань [</w:t>
      </w:r>
      <w:r w:rsidR="003D6B4F">
        <w:fldChar w:fldCharType="begin"/>
      </w:r>
      <w:r w:rsidR="003D6B4F">
        <w:instrText xml:space="preserve"> REF _Ref225092204 \r \h  \* MERGEFORMAT </w:instrText>
      </w:r>
      <w:r w:rsidR="003D6B4F">
        <w:fldChar w:fldCharType="separate"/>
      </w:r>
      <w:r w:rsidRPr="00E32BE0">
        <w:rPr>
          <w:rFonts w:eastAsia="SimSun"/>
          <w:sz w:val="24"/>
          <w:szCs w:val="24"/>
          <w:lang w:val="ru-RU" w:eastAsia="zh-CN"/>
        </w:rPr>
        <w:t>17</w:t>
      </w:r>
      <w:r w:rsidR="003D6B4F">
        <w:fldChar w:fldCharType="end"/>
      </w:r>
      <w:r w:rsidRPr="00E32BE0">
        <w:rPr>
          <w:rFonts w:eastAsia="SimSun"/>
          <w:sz w:val="24"/>
          <w:szCs w:val="24"/>
          <w:lang w:val="ru-RU" w:eastAsia="zh-CN"/>
        </w:rPr>
        <w:t xml:space="preserve">].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 xml:space="preserve">Важливим фактором ефективності програми є використання рейтингової системи мотивації. Публічне відображення результатів створює додатковий змагальний стимул та сприяє формуванню внутрішньої мотивації до регулярних тренувань. Подібний ефект пояснюється психологічними механізмами соціального порівняння та </w:t>
      </w:r>
      <w:r w:rsidRPr="00E32BE0">
        <w:rPr>
          <w:rFonts w:eastAsia="SimSun"/>
          <w:sz w:val="24"/>
          <w:szCs w:val="24"/>
          <w:lang w:val="ru-RU" w:eastAsia="zh-CN"/>
        </w:rPr>
        <w:lastRenderedPageBreak/>
        <w:t>змагальності у групі, які широко використовуються у сучасних системах фізичної підготовки військовослужбовців і спортсменів.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 xml:space="preserve">Крім того, застосування відеоінструктажу як засобу навчання техніки виконання вправи підтверджує ефективність візуальних форм навчання у спортивній педагогіці. Використання відеоматеріалів дозволяє більш наочно продемонструвати техніку рухів, типові помилки та рекомендації щодо виконання вправ, що сприяє швидшому формуванню правильних рухових навичок. Сучасні дослідження показують, що поєднання фізичних вправ із цифровими засобами зворотного зв’язку значно підвищує ефективність засвоєння рухових дій та покращує результати тренування.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Отримані результати також узгоджуються з сучасними принципами силового тренування, зокрема принципом прогресивного навантаження, який передбачає поступове збільшення тренувального навантаження для стимуляції адаптаційних змін у м’язовій та нервовій системах. Згідно з цим принципом, систематичне підвищення обсягу або інтенсивності тренування сприяє зростанню сили та витривалості, що безпосередньо відображається на результатах виконання фізичних вправ [</w:t>
      </w:r>
      <w:r w:rsidR="003D6B4F">
        <w:fldChar w:fldCharType="begin"/>
      </w:r>
      <w:r w:rsidR="003D6B4F">
        <w:instrText xml:space="preserve"> REF _Ref225092219 \r \h  \* MERGEFORMAT </w:instrText>
      </w:r>
      <w:r w:rsidR="003D6B4F">
        <w:fldChar w:fldCharType="separate"/>
      </w:r>
      <w:r w:rsidRPr="00E32BE0">
        <w:rPr>
          <w:rFonts w:eastAsia="SimSun"/>
          <w:sz w:val="24"/>
          <w:szCs w:val="24"/>
          <w:lang w:val="ru-RU" w:eastAsia="zh-CN"/>
        </w:rPr>
        <w:t>18</w:t>
      </w:r>
      <w:r w:rsidR="003D6B4F">
        <w:fldChar w:fldCharType="end"/>
      </w:r>
      <w:r w:rsidRPr="00E32BE0">
        <w:rPr>
          <w:rFonts w:eastAsia="SimSun"/>
          <w:sz w:val="24"/>
          <w:szCs w:val="24"/>
          <w:lang w:val="ru-RU" w:eastAsia="zh-CN"/>
        </w:rPr>
        <w:t xml:space="preserve">].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 xml:space="preserve">Важливим показником ефективності запропонованої програми є інтегральний показник </w:t>
      </w:r>
      <w:r w:rsidRPr="00E32BE0">
        <w:rPr>
          <w:rFonts w:eastAsia="SimSun"/>
          <w:sz w:val="24"/>
          <w:szCs w:val="24"/>
          <w:lang w:val="en-US" w:eastAsia="zh-CN"/>
        </w:rPr>
        <w:t>Program</w:t>
      </w:r>
      <w:r w:rsidRPr="00E32BE0">
        <w:rPr>
          <w:rFonts w:eastAsia="SimSun"/>
          <w:sz w:val="24"/>
          <w:szCs w:val="24"/>
          <w:lang w:val="ru-RU" w:eastAsia="zh-CN"/>
        </w:rPr>
        <w:t xml:space="preserve"> </w:t>
      </w:r>
      <w:r w:rsidRPr="00E32BE0">
        <w:rPr>
          <w:rFonts w:eastAsia="SimSun"/>
          <w:sz w:val="24"/>
          <w:szCs w:val="24"/>
          <w:lang w:val="en-US" w:eastAsia="zh-CN"/>
        </w:rPr>
        <w:t>Impact</w:t>
      </w:r>
      <w:r w:rsidRPr="00E32BE0">
        <w:rPr>
          <w:rFonts w:eastAsia="SimSun"/>
          <w:sz w:val="24"/>
          <w:szCs w:val="24"/>
          <w:lang w:val="ru-RU" w:eastAsia="zh-CN"/>
        </w:rPr>
        <w:t xml:space="preserve"> </w:t>
      </w:r>
      <w:r w:rsidRPr="00E32BE0">
        <w:rPr>
          <w:rFonts w:eastAsia="SimSun"/>
          <w:sz w:val="24"/>
          <w:szCs w:val="24"/>
          <w:lang w:val="en-US" w:eastAsia="zh-CN"/>
        </w:rPr>
        <w:t>Index</w:t>
      </w:r>
      <w:r w:rsidRPr="00E32BE0">
        <w:rPr>
          <w:rFonts w:eastAsia="SimSun"/>
          <w:sz w:val="24"/>
          <w:szCs w:val="24"/>
          <w:lang w:val="ru-RU" w:eastAsia="zh-CN"/>
        </w:rPr>
        <w:t xml:space="preserve"> (72,1%), який характеризує комплексний вплив педагогічних та мотиваційних факторів на тренувальну діяльність курсантів. Високе значення цього індексу свідчить про те, що поєднання різних компонентів програми (методичні рекомендації, відеоінструктаж, рейтинг результатів) забезпечує синергетичний ефект і сприяє підвищенню ефективності фізичної підготовки [</w:t>
      </w:r>
      <w:r w:rsidR="003D6B4F">
        <w:fldChar w:fldCharType="begin"/>
      </w:r>
      <w:r w:rsidR="003D6B4F">
        <w:instrText xml:space="preserve"> REF _Ref225092230 \r \h  \* M</w:instrText>
      </w:r>
      <w:r w:rsidR="003D6B4F">
        <w:instrText xml:space="preserve">ERGEFORMAT </w:instrText>
      </w:r>
      <w:r w:rsidR="003D6B4F">
        <w:fldChar w:fldCharType="separate"/>
      </w:r>
      <w:r w:rsidRPr="00E32BE0">
        <w:rPr>
          <w:rFonts w:eastAsia="SimSun"/>
          <w:sz w:val="24"/>
          <w:szCs w:val="24"/>
          <w:lang w:val="ru-RU" w:eastAsia="zh-CN"/>
        </w:rPr>
        <w:t>19</w:t>
      </w:r>
      <w:r w:rsidR="003D6B4F">
        <w:fldChar w:fldCharType="end"/>
      </w:r>
      <w:r w:rsidRPr="00E32BE0">
        <w:rPr>
          <w:rFonts w:eastAsia="SimSun"/>
          <w:sz w:val="24"/>
          <w:szCs w:val="24"/>
          <w:lang w:val="ru-RU" w:eastAsia="zh-CN"/>
        </w:rPr>
        <w:t>].</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b/>
          <w:bCs/>
          <w:sz w:val="24"/>
          <w:szCs w:val="24"/>
          <w:lang w:val="ru-RU" w:eastAsia="zh-CN"/>
        </w:rPr>
        <w:t>Висновок</w:t>
      </w:r>
      <w:r w:rsidR="0004467E">
        <w:rPr>
          <w:rFonts w:eastAsia="SimSun"/>
          <w:b/>
          <w:bCs/>
          <w:sz w:val="24"/>
          <w:szCs w:val="24"/>
          <w:lang w:val="ru-RU" w:eastAsia="zh-CN"/>
        </w:rPr>
        <w:t xml:space="preserve">. </w:t>
      </w:r>
      <w:r w:rsidRPr="00E32BE0">
        <w:rPr>
          <w:rFonts w:eastAsia="SimSun"/>
          <w:sz w:val="24"/>
          <w:szCs w:val="24"/>
          <w:lang w:val="ru-RU" w:eastAsia="zh-CN"/>
        </w:rPr>
        <w:t>Результати дослідження підтверджують доцільність використання комплексного підходу до організації фізичної підготовки курсантів, який поєднує сучасні педагогічні методики, цифрові технології навчання та мотиваційні механізми. Узагальнення результатів анкетування дозволяє зробити висновок, що впровадження комплексної програми, яка поєднує методичні рекомендації щодо тренування, відеоінструктаж техніки виконання вправи та систему рейтингової мотивації, має позитивний вплив на поведінкові та мотиваційні аспекти фізичної підготовки курсантів. Запропонований підхід сприяє підвищенню інтересу до занять фізичною підготовкою, стимулює регулярність самостійних тренувань та формує змагальний елемент у навчальному підрозділі.</w:t>
      </w:r>
    </w:p>
    <w:p w:rsidR="00E32BE0" w:rsidRPr="00E32BE0" w:rsidRDefault="00E32BE0" w:rsidP="00E32BE0">
      <w:pPr>
        <w:spacing w:after="0" w:line="240" w:lineRule="auto"/>
        <w:ind w:firstLine="709"/>
        <w:jc w:val="both"/>
        <w:outlineLvl w:val="0"/>
        <w:rPr>
          <w:rFonts w:eastAsia="SimSun"/>
          <w:b/>
          <w:bCs/>
          <w:kern w:val="44"/>
          <w:sz w:val="24"/>
          <w:szCs w:val="24"/>
          <w:lang w:val="ru-RU" w:eastAsia="zh-CN"/>
        </w:rPr>
      </w:pPr>
      <w:r w:rsidRPr="00E32BE0">
        <w:rPr>
          <w:rFonts w:eastAsia="SimSun"/>
          <w:b/>
          <w:bCs/>
          <w:kern w:val="44"/>
          <w:sz w:val="24"/>
          <w:szCs w:val="24"/>
          <w:lang w:val="ru-RU" w:eastAsia="zh-CN"/>
        </w:rPr>
        <w:t xml:space="preserve">Перспективи подальших досліджень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Перспективи подальших досліджень пов’язані з поглибленням вивчення ефективності запропонованої програми самостійних тренувань та розширенням можливостей цифрового контролю фізичної підготовки військовослужбовців. Доцільним є проведення довготривалих експериментальних досліджень із більшою вибіркою курсантів різних військових спеціальностей, що дозволить більш об’єктивно оцінити вплив запропонованої методики на динаміку фізичної підготовленості.</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Важливим напрямом подальших досліджень може стати розробка та впровадження автоматизованих пристроїв для об’єктивного контролю виконання фізичних вправ, зокрема приладів, які здійснюють автоматичний підрахунок повторень та фіксацію амплітуди руху під час виконання вправи №20. Використання таких пристроїв дозволить підвищити точність оцінювання результатів, мінімізувати вплив людського фактору та забезпечити більш об’єктивний моніторинг фізичної підготовленості.</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Крім того, перспективним є створення цифрових систем моніторингу фізичної підготовки, які можуть поєднувати результати тестування, рейтингові показники та індивідуальні рекомендації щодо тренувань. Інтеграція подібних систем у навчальний процес військових навчальних закладів сприятиме підвищенню ефективності управління фізичною підготовкою та формуванню стійкої мотивації курсантів до регулярних занять фізичними вправами.</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lastRenderedPageBreak/>
        <w:t>Подальші дослідження можуть бути також спрямовані на вивчення можливостей застосування подібних програм у підготовці військовослужбовців різних категорій, а також на розробку комплексних моделей цифровізації системи фізичної підготовки у військових підрозділах.</w:t>
      </w:r>
    </w:p>
    <w:p w:rsidR="00E32BE0" w:rsidRPr="00E32BE0" w:rsidRDefault="00E32BE0" w:rsidP="00E32BE0">
      <w:pPr>
        <w:spacing w:after="0" w:line="240" w:lineRule="auto"/>
        <w:ind w:firstLine="709"/>
        <w:jc w:val="both"/>
        <w:rPr>
          <w:rFonts w:eastAsia="SimSun"/>
          <w:b/>
          <w:bCs/>
          <w:sz w:val="24"/>
          <w:szCs w:val="24"/>
          <w:lang w:val="ru-RU" w:eastAsia="zh-CN"/>
        </w:rPr>
      </w:pPr>
      <w:r w:rsidRPr="00E32BE0">
        <w:rPr>
          <w:rFonts w:eastAsia="SimSun"/>
          <w:b/>
          <w:bCs/>
          <w:sz w:val="24"/>
          <w:szCs w:val="24"/>
          <w:lang w:val="ru-RU" w:eastAsia="zh-CN"/>
        </w:rPr>
        <w:t xml:space="preserve">Обмеження дослідження </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Незважаючи на отримані позитивні результати, проведене дослідження має певні обмеження, які необхідно враховувати під час інтерпретації отриманих даних.</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По-перше, дослідження проводилося в межах одного навчального підрозділу, що може обмежувати можливість узагальнення результатів на ширшу вибірку військовослужбовців або курсантів інших військових навчальних закладів.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По-друге, частина результатів базується на самооцінці курсантів, отриманій шляхом анкетування. Такий підхід може містити певний суб’єктивний компонент, пов’язаний із індивідуальним сприйняттям мотивації, рівня фізичної підготовленості та ефективності тренувань.</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По-третє, оцінка ефективності програми проводилася протягом обмеженого періоду (4 тижні), що не дозволяє повністю оцінити довгостроковий вплив запропонованої методики на рівень фізичної підготовленості курсантів.</w:t>
      </w:r>
    </w:p>
    <w:p w:rsidR="00E32BE0" w:rsidRPr="00E32BE0" w:rsidRDefault="00E32BE0" w:rsidP="00E32BE0">
      <w:pPr>
        <w:spacing w:after="0" w:line="240" w:lineRule="auto"/>
        <w:ind w:firstLine="709"/>
        <w:jc w:val="both"/>
        <w:rPr>
          <w:rFonts w:eastAsia="SimSun"/>
          <w:sz w:val="24"/>
          <w:szCs w:val="24"/>
          <w:lang w:val="ru-RU" w:eastAsia="zh-CN"/>
        </w:rPr>
      </w:pPr>
      <w:r w:rsidRPr="00E32BE0">
        <w:rPr>
          <w:rFonts w:eastAsia="SimSun"/>
          <w:sz w:val="24"/>
          <w:szCs w:val="24"/>
          <w:lang w:val="ru-RU" w:eastAsia="zh-CN"/>
        </w:rPr>
        <w:t>Крім того, на результати могли впливати додаткові фактори, зокрема індивідуальний рівень фізичної підготовленості курсантів, особливості режиму служби, а також зовнішні мотиваційні чинники, такі як змагальність у підрозділі або вплив командного складу.</w:t>
      </w:r>
    </w:p>
    <w:p w:rsidR="00E32BE0" w:rsidRPr="00E32BE0" w:rsidRDefault="00E32BE0" w:rsidP="00E32BE0">
      <w:pPr>
        <w:spacing w:after="0" w:line="240" w:lineRule="auto"/>
        <w:jc w:val="center"/>
        <w:rPr>
          <w:rFonts w:eastAsia="SimSun"/>
          <w:b/>
          <w:bCs/>
          <w:sz w:val="24"/>
          <w:szCs w:val="24"/>
          <w:lang w:eastAsia="zh-CN"/>
        </w:rPr>
      </w:pPr>
    </w:p>
    <w:p w:rsidR="00E32BE0" w:rsidRPr="00E32BE0" w:rsidRDefault="00E32BE0" w:rsidP="00E32BE0">
      <w:pPr>
        <w:spacing w:after="0" w:line="240" w:lineRule="auto"/>
        <w:jc w:val="center"/>
        <w:rPr>
          <w:rFonts w:ascii="Calibri" w:hAnsi="Calibri"/>
          <w:sz w:val="20"/>
          <w:szCs w:val="20"/>
          <w:lang w:val="ru-RU"/>
        </w:rPr>
      </w:pPr>
      <w:r w:rsidRPr="00E32BE0">
        <w:rPr>
          <w:rFonts w:eastAsia="SimSun"/>
          <w:b/>
          <w:bCs/>
          <w:sz w:val="20"/>
          <w:szCs w:val="20"/>
          <w:lang w:eastAsia="zh-CN"/>
        </w:rPr>
        <w:t>С</w:t>
      </w:r>
      <w:r w:rsidRPr="00E32BE0">
        <w:rPr>
          <w:rFonts w:eastAsia="SimSun"/>
          <w:b/>
          <w:bCs/>
          <w:sz w:val="20"/>
          <w:szCs w:val="20"/>
          <w:lang w:val="ru-RU" w:eastAsia="zh-CN"/>
        </w:rPr>
        <w:t>писок використаних джерел</w:t>
      </w:r>
    </w:p>
    <w:p w:rsidR="00E32BE0" w:rsidRPr="00E32BE0" w:rsidRDefault="00E32BE0" w:rsidP="00E32BE0">
      <w:pPr>
        <w:numPr>
          <w:ilvl w:val="0"/>
          <w:numId w:val="6"/>
        </w:numPr>
        <w:spacing w:after="0" w:line="240" w:lineRule="auto"/>
        <w:ind w:left="0" w:firstLine="0"/>
        <w:jc w:val="both"/>
        <w:rPr>
          <w:rFonts w:eastAsia="SimSun"/>
          <w:sz w:val="20"/>
          <w:szCs w:val="20"/>
          <w:lang w:val="ru-RU" w:eastAsia="zh-CN"/>
        </w:rPr>
      </w:pPr>
      <w:bookmarkStart w:id="6" w:name="_Ref225091746"/>
      <w:r w:rsidRPr="00E32BE0">
        <w:rPr>
          <w:rFonts w:eastAsia="SimSun"/>
          <w:sz w:val="20"/>
          <w:szCs w:val="20"/>
          <w:lang w:val="ru-RU" w:eastAsia="zh-CN"/>
        </w:rPr>
        <w:t>Міністерство оборони України. Про затвердження Інструкції з фізичної підготовки в Збройних Силах України: Наказ № 225 від 05.08.2021.</w:t>
      </w:r>
      <w:bookmarkEnd w:id="6"/>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7" w:name="_Ref225091751"/>
      <w:r w:rsidRPr="00E32BE0">
        <w:rPr>
          <w:rFonts w:eastAsia="SimSun"/>
          <w:sz w:val="20"/>
          <w:szCs w:val="20"/>
          <w:lang w:val="en-US" w:eastAsia="zh-CN"/>
        </w:rPr>
        <w:t xml:space="preserve">Vypasniak I, Boichuk R, Ivanyshyn I, Lutskyi V, Temchenko V, Yagello M. Assessment of the physical education learning environment among students of Ukrainian universities during wartime: validation of the SAPPE questionnaire and gender-regional analysis. </w:t>
      </w:r>
      <w:r w:rsidRPr="00E32BE0">
        <w:rPr>
          <w:rFonts w:eastAsia="SimSun"/>
          <w:i/>
          <w:iCs/>
          <w:sz w:val="20"/>
          <w:szCs w:val="20"/>
          <w:lang w:val="en-US" w:eastAsia="zh-CN"/>
        </w:rPr>
        <w:t>Health Pedagogy</w:t>
      </w:r>
      <w:r w:rsidRPr="00E32BE0">
        <w:rPr>
          <w:rFonts w:eastAsia="SimSun"/>
          <w:sz w:val="20"/>
          <w:szCs w:val="20"/>
          <w:lang w:val="en-US" w:eastAsia="zh-CN"/>
        </w:rPr>
        <w:t>. 2025;4(2):108</w:t>
      </w:r>
      <w:r w:rsidR="00DA6CC0">
        <w:rPr>
          <w:rFonts w:eastAsia="SimSun"/>
          <w:sz w:val="20"/>
          <w:szCs w:val="20"/>
          <w:lang w:eastAsia="zh-CN"/>
        </w:rPr>
        <w:t>-</w:t>
      </w:r>
      <w:r w:rsidRPr="00E32BE0">
        <w:rPr>
          <w:rFonts w:eastAsia="SimSun"/>
          <w:sz w:val="20"/>
          <w:szCs w:val="20"/>
          <w:lang w:val="en-US" w:eastAsia="zh-CN"/>
        </w:rPr>
        <w:t xml:space="preserve">23. </w:t>
      </w:r>
      <w:hyperlink r:id="rId36" w:tgtFrame="C:\Users\Orest\AppData\Local\Temp\_new" w:history="1">
        <w:r w:rsidRPr="00E32BE0">
          <w:rPr>
            <w:rFonts w:eastAsia="SimSun"/>
            <w:color w:val="0000FF"/>
            <w:sz w:val="20"/>
            <w:szCs w:val="20"/>
            <w:u w:val="single"/>
            <w:lang w:val="en-US" w:eastAsia="zh-CN"/>
          </w:rPr>
          <w:t>https://doi.org/10.15561/health.2025.0203</w:t>
        </w:r>
      </w:hyperlink>
      <w:r w:rsidRPr="00E32BE0">
        <w:rPr>
          <w:rFonts w:eastAsia="SimSun"/>
          <w:sz w:val="20"/>
          <w:szCs w:val="20"/>
          <w:lang w:val="en-US" w:eastAsia="zh-CN"/>
        </w:rPr>
        <w:t>.</w:t>
      </w:r>
      <w:bookmarkEnd w:id="7"/>
    </w:p>
    <w:p w:rsidR="00E32BE0" w:rsidRPr="00E32BE0" w:rsidRDefault="00E32BE0" w:rsidP="00E32BE0">
      <w:pPr>
        <w:numPr>
          <w:ilvl w:val="0"/>
          <w:numId w:val="6"/>
        </w:numPr>
        <w:spacing w:after="0" w:line="240" w:lineRule="auto"/>
        <w:ind w:left="0" w:firstLine="0"/>
        <w:jc w:val="both"/>
        <w:rPr>
          <w:rFonts w:eastAsia="SimSun"/>
          <w:sz w:val="20"/>
          <w:szCs w:val="20"/>
          <w:lang w:val="ru-RU" w:eastAsia="zh-CN"/>
        </w:rPr>
      </w:pPr>
      <w:bookmarkStart w:id="8" w:name="_Ref225091759"/>
      <w:r w:rsidRPr="00E32BE0">
        <w:rPr>
          <w:rFonts w:eastAsia="SimSun"/>
          <w:sz w:val="20"/>
          <w:szCs w:val="20"/>
          <w:lang w:val="en-US" w:eastAsia="zh-CN"/>
        </w:rPr>
        <w:t xml:space="preserve">Лойко ОМ, Гулей КС. Взаємозв’язок технічної підготовленості і результату у боксерських поєдинках курсантів військових закладів вищої освіти. </w:t>
      </w:r>
      <w:r w:rsidRPr="00E32BE0">
        <w:rPr>
          <w:rFonts w:eastAsia="SimSun"/>
          <w:i/>
          <w:iCs/>
          <w:sz w:val="20"/>
          <w:szCs w:val="20"/>
          <w:lang w:val="ru-RU" w:eastAsia="zh-CN"/>
        </w:rPr>
        <w:t>Вісник Прикарпатського університету. Серія: Фізична культура</w:t>
      </w:r>
      <w:r w:rsidRPr="00E32BE0">
        <w:rPr>
          <w:rFonts w:eastAsia="SimSun"/>
          <w:sz w:val="20"/>
          <w:szCs w:val="20"/>
          <w:lang w:val="ru-RU" w:eastAsia="zh-CN"/>
        </w:rPr>
        <w:t>. 2025;44:42</w:t>
      </w:r>
      <w:r w:rsidR="00DA6CC0">
        <w:rPr>
          <w:rFonts w:eastAsia="SimSun"/>
          <w:sz w:val="20"/>
          <w:szCs w:val="20"/>
          <w:lang w:val="ru-RU" w:eastAsia="zh-CN"/>
        </w:rPr>
        <w:t>-</w:t>
      </w:r>
      <w:r w:rsidRPr="00E32BE0">
        <w:rPr>
          <w:rFonts w:eastAsia="SimSun"/>
          <w:sz w:val="20"/>
          <w:szCs w:val="20"/>
          <w:lang w:val="ru-RU" w:eastAsia="zh-CN"/>
        </w:rPr>
        <w:t xml:space="preserve">50. </w:t>
      </w:r>
      <w:hyperlink r:id="rId37" w:tgtFrame="C:\Users\Orest\AppData\Local\Temp\_new" w:history="1">
        <w:r w:rsidRPr="00E32BE0">
          <w:rPr>
            <w:rFonts w:eastAsia="SimSun"/>
            <w:color w:val="0000FF"/>
            <w:sz w:val="20"/>
            <w:szCs w:val="20"/>
            <w:u w:val="single"/>
            <w:lang w:val="en-US" w:eastAsia="zh-CN"/>
          </w:rPr>
          <w:t>https</w:t>
        </w:r>
        <w:r w:rsidRPr="00E32BE0">
          <w:rPr>
            <w:rFonts w:eastAsia="SimSun"/>
            <w:color w:val="0000FF"/>
            <w:sz w:val="20"/>
            <w:szCs w:val="20"/>
            <w:u w:val="single"/>
            <w:lang w:val="ru-RU" w:eastAsia="zh-CN"/>
          </w:rPr>
          <w:t>://</w:t>
        </w:r>
        <w:r w:rsidRPr="00E32BE0">
          <w:rPr>
            <w:rFonts w:eastAsia="SimSun"/>
            <w:color w:val="0000FF"/>
            <w:sz w:val="20"/>
            <w:szCs w:val="20"/>
            <w:u w:val="single"/>
            <w:lang w:val="en-US" w:eastAsia="zh-CN"/>
          </w:rPr>
          <w:t>doi</w:t>
        </w:r>
        <w:r w:rsidRPr="00E32BE0">
          <w:rPr>
            <w:rFonts w:eastAsia="SimSun"/>
            <w:color w:val="0000FF"/>
            <w:sz w:val="20"/>
            <w:szCs w:val="20"/>
            <w:u w:val="single"/>
            <w:lang w:val="ru-RU" w:eastAsia="zh-CN"/>
          </w:rPr>
          <w:t>.</w:t>
        </w:r>
        <w:r w:rsidRPr="00E32BE0">
          <w:rPr>
            <w:rFonts w:eastAsia="SimSun"/>
            <w:color w:val="0000FF"/>
            <w:sz w:val="20"/>
            <w:szCs w:val="20"/>
            <w:u w:val="single"/>
            <w:lang w:val="en-US" w:eastAsia="zh-CN"/>
          </w:rPr>
          <w:t>org</w:t>
        </w:r>
        <w:r w:rsidRPr="00E32BE0">
          <w:rPr>
            <w:rFonts w:eastAsia="SimSun"/>
            <w:color w:val="0000FF"/>
            <w:sz w:val="20"/>
            <w:szCs w:val="20"/>
            <w:u w:val="single"/>
            <w:lang w:val="ru-RU" w:eastAsia="zh-CN"/>
          </w:rPr>
          <w:t>/10.15330/</w:t>
        </w:r>
        <w:r w:rsidRPr="00E32BE0">
          <w:rPr>
            <w:rFonts w:eastAsia="SimSun"/>
            <w:color w:val="0000FF"/>
            <w:sz w:val="20"/>
            <w:szCs w:val="20"/>
            <w:u w:val="single"/>
            <w:lang w:val="en-US" w:eastAsia="zh-CN"/>
          </w:rPr>
          <w:t>fcult</w:t>
        </w:r>
        <w:r w:rsidRPr="00E32BE0">
          <w:rPr>
            <w:rFonts w:eastAsia="SimSun"/>
            <w:color w:val="0000FF"/>
            <w:sz w:val="20"/>
            <w:szCs w:val="20"/>
            <w:u w:val="single"/>
            <w:lang w:val="ru-RU" w:eastAsia="zh-CN"/>
          </w:rPr>
          <w:t>.44.42-50</w:t>
        </w:r>
      </w:hyperlink>
      <w:r w:rsidRPr="00E32BE0">
        <w:rPr>
          <w:rFonts w:eastAsia="SimSun"/>
          <w:sz w:val="20"/>
          <w:szCs w:val="20"/>
          <w:lang w:val="ru-RU" w:eastAsia="zh-CN"/>
        </w:rPr>
        <w:t>.</w:t>
      </w:r>
      <w:bookmarkEnd w:id="8"/>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9" w:name="_Ref225091766"/>
      <w:r w:rsidRPr="00E32BE0">
        <w:rPr>
          <w:rFonts w:eastAsia="SimSun"/>
          <w:sz w:val="20"/>
          <w:szCs w:val="20"/>
          <w:lang w:val="ru-RU" w:eastAsia="zh-CN"/>
        </w:rPr>
        <w:t xml:space="preserve">Романчук С, Лойко О, Афонін В, Добровольський В, Суспо В, Боярчук О, Васянович А, Фіщук І, Людовик Т. Вплив засобів боксу на фізичну підготовленість курсантів військового коледжу. </w:t>
      </w:r>
      <w:r w:rsidRPr="00E32BE0">
        <w:rPr>
          <w:rFonts w:eastAsia="SimSun"/>
          <w:i/>
          <w:iCs/>
          <w:sz w:val="20"/>
          <w:szCs w:val="20"/>
          <w:lang w:val="ru-RU" w:eastAsia="zh-CN"/>
        </w:rPr>
        <w:t>Вісник Кам’янець-Подільського національного університету імені Івана Огієнка. Фізичне виховання, спорт і здоров’я людини</w:t>
      </w:r>
      <w:r w:rsidRPr="00E32BE0">
        <w:rPr>
          <w:rFonts w:eastAsia="SimSun"/>
          <w:sz w:val="20"/>
          <w:szCs w:val="20"/>
          <w:lang w:val="ru-RU" w:eastAsia="zh-CN"/>
        </w:rPr>
        <w:t>. 2021;19:43</w:t>
      </w:r>
      <w:r w:rsidR="00DA6CC0">
        <w:rPr>
          <w:rFonts w:eastAsia="SimSun"/>
          <w:sz w:val="20"/>
          <w:szCs w:val="20"/>
          <w:lang w:val="ru-RU" w:eastAsia="zh-CN"/>
        </w:rPr>
        <w:t>-</w:t>
      </w:r>
      <w:r w:rsidRPr="00E32BE0">
        <w:rPr>
          <w:rFonts w:eastAsia="SimSun"/>
          <w:sz w:val="20"/>
          <w:szCs w:val="20"/>
          <w:lang w:val="ru-RU" w:eastAsia="zh-CN"/>
        </w:rPr>
        <w:t xml:space="preserve">8. </w:t>
      </w:r>
      <w:hyperlink r:id="rId38" w:tgtFrame="C:\Users\Orest\AppData\Local\Temp\_new" w:history="1">
        <w:r w:rsidRPr="00E32BE0">
          <w:rPr>
            <w:rFonts w:eastAsia="SimSun"/>
            <w:color w:val="0000FF"/>
            <w:sz w:val="20"/>
            <w:szCs w:val="20"/>
            <w:u w:val="single"/>
            <w:lang w:val="en-US" w:eastAsia="zh-CN"/>
          </w:rPr>
          <w:t>https://doi.org/10.32626/2309-8082.2020-19.43-48</w:t>
        </w:r>
      </w:hyperlink>
      <w:r w:rsidRPr="00E32BE0">
        <w:rPr>
          <w:rFonts w:eastAsia="SimSun"/>
          <w:sz w:val="20"/>
          <w:szCs w:val="20"/>
          <w:lang w:val="en-US" w:eastAsia="zh-CN"/>
        </w:rPr>
        <w:t>.</w:t>
      </w:r>
      <w:bookmarkEnd w:id="9"/>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0" w:name="_Ref225091778"/>
      <w:r w:rsidRPr="00E32BE0">
        <w:rPr>
          <w:rFonts w:eastAsia="SimSun"/>
          <w:sz w:val="20"/>
          <w:szCs w:val="20"/>
          <w:lang w:val="ru-RU" w:eastAsia="zh-CN"/>
        </w:rPr>
        <w:t xml:space="preserve">Романчук С, Федак С, Афонін В, Лойко О, Фіщук І. Фізична підготовка курсантів вищих військових навчальних закладів на основі вибіркової направленності професійної освіти: монографія. </w:t>
      </w:r>
      <w:r w:rsidRPr="00E32BE0">
        <w:rPr>
          <w:rFonts w:eastAsia="SimSun"/>
          <w:sz w:val="20"/>
          <w:szCs w:val="20"/>
          <w:lang w:val="en-US" w:eastAsia="zh-CN"/>
        </w:rPr>
        <w:t>Львів: НАСВ; 2022. 368 с.</w:t>
      </w:r>
      <w:bookmarkEnd w:id="10"/>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1" w:name="_Ref225091795"/>
      <w:r w:rsidRPr="00E32BE0">
        <w:rPr>
          <w:rFonts w:eastAsia="SimSun"/>
          <w:sz w:val="20"/>
          <w:szCs w:val="20"/>
          <w:lang w:val="ru-RU" w:eastAsia="zh-CN"/>
        </w:rPr>
        <w:t xml:space="preserve">Романчук С, Матвейко О, Одеров А, Лойко О. Фізкультурно-спортивна реабілітація військовослужбовців: навчально-методичний посібник. </w:t>
      </w:r>
      <w:r w:rsidRPr="00E32BE0">
        <w:rPr>
          <w:rFonts w:eastAsia="SimSun"/>
          <w:sz w:val="20"/>
          <w:szCs w:val="20"/>
          <w:lang w:val="en-US" w:eastAsia="zh-CN"/>
        </w:rPr>
        <w:t>Львів: НАСВ; 2025. 145 с.</w:t>
      </w:r>
      <w:bookmarkEnd w:id="11"/>
    </w:p>
    <w:p w:rsidR="00E32BE0" w:rsidRPr="00E32BE0" w:rsidRDefault="00E32BE0" w:rsidP="00E32BE0">
      <w:pPr>
        <w:numPr>
          <w:ilvl w:val="0"/>
          <w:numId w:val="6"/>
        </w:numPr>
        <w:spacing w:after="0" w:line="240" w:lineRule="auto"/>
        <w:ind w:left="0" w:firstLine="0"/>
        <w:jc w:val="both"/>
        <w:rPr>
          <w:rFonts w:eastAsia="SimSun"/>
          <w:sz w:val="20"/>
          <w:szCs w:val="20"/>
          <w:lang w:val="ru-RU" w:eastAsia="zh-CN"/>
        </w:rPr>
      </w:pPr>
      <w:bookmarkStart w:id="12" w:name="_Ref225091807"/>
      <w:r w:rsidRPr="00E32BE0">
        <w:rPr>
          <w:rFonts w:eastAsia="SimSun"/>
          <w:sz w:val="20"/>
          <w:szCs w:val="20"/>
          <w:lang w:val="ru-RU" w:eastAsia="zh-CN"/>
        </w:rPr>
        <w:t>Романчук</w:t>
      </w:r>
      <w:r w:rsidRPr="00E32BE0">
        <w:rPr>
          <w:rFonts w:eastAsia="SimSun"/>
          <w:sz w:val="20"/>
          <w:szCs w:val="20"/>
          <w:lang w:val="en-US" w:eastAsia="zh-CN"/>
        </w:rPr>
        <w:t xml:space="preserve"> </w:t>
      </w:r>
      <w:r w:rsidRPr="00E32BE0">
        <w:rPr>
          <w:rFonts w:eastAsia="SimSun"/>
          <w:sz w:val="20"/>
          <w:szCs w:val="20"/>
          <w:lang w:val="ru-RU" w:eastAsia="zh-CN"/>
        </w:rPr>
        <w:t>С</w:t>
      </w:r>
      <w:r w:rsidRPr="00E32BE0">
        <w:rPr>
          <w:rFonts w:eastAsia="SimSun"/>
          <w:sz w:val="20"/>
          <w:szCs w:val="20"/>
          <w:lang w:val="en-US" w:eastAsia="zh-CN"/>
        </w:rPr>
        <w:t xml:space="preserve">, </w:t>
      </w:r>
      <w:r w:rsidRPr="00E32BE0">
        <w:rPr>
          <w:rFonts w:eastAsia="SimSun"/>
          <w:sz w:val="20"/>
          <w:szCs w:val="20"/>
          <w:lang w:val="ru-RU" w:eastAsia="zh-CN"/>
        </w:rPr>
        <w:t>Мицкан</w:t>
      </w:r>
      <w:r w:rsidRPr="00E32BE0">
        <w:rPr>
          <w:rFonts w:eastAsia="SimSun"/>
          <w:sz w:val="20"/>
          <w:szCs w:val="20"/>
          <w:lang w:val="en-US" w:eastAsia="zh-CN"/>
        </w:rPr>
        <w:t xml:space="preserve"> </w:t>
      </w:r>
      <w:r w:rsidRPr="00E32BE0">
        <w:rPr>
          <w:rFonts w:eastAsia="SimSun"/>
          <w:sz w:val="20"/>
          <w:szCs w:val="20"/>
          <w:lang w:val="ru-RU" w:eastAsia="zh-CN"/>
        </w:rPr>
        <w:t>Б</w:t>
      </w:r>
      <w:r w:rsidRPr="00E32BE0">
        <w:rPr>
          <w:rFonts w:eastAsia="SimSun"/>
          <w:sz w:val="20"/>
          <w:szCs w:val="20"/>
          <w:lang w:val="en-US" w:eastAsia="zh-CN"/>
        </w:rPr>
        <w:t xml:space="preserve">, </w:t>
      </w:r>
      <w:r w:rsidRPr="00E32BE0">
        <w:rPr>
          <w:rFonts w:eastAsia="SimSun"/>
          <w:sz w:val="20"/>
          <w:szCs w:val="20"/>
          <w:lang w:val="ru-RU" w:eastAsia="zh-CN"/>
        </w:rPr>
        <w:t>Афонін</w:t>
      </w:r>
      <w:r w:rsidRPr="00E32BE0">
        <w:rPr>
          <w:rFonts w:eastAsia="SimSun"/>
          <w:sz w:val="20"/>
          <w:szCs w:val="20"/>
          <w:lang w:val="en-US" w:eastAsia="zh-CN"/>
        </w:rPr>
        <w:t xml:space="preserve"> </w:t>
      </w:r>
      <w:r w:rsidRPr="00E32BE0">
        <w:rPr>
          <w:rFonts w:eastAsia="SimSun"/>
          <w:sz w:val="20"/>
          <w:szCs w:val="20"/>
          <w:lang w:val="ru-RU" w:eastAsia="zh-CN"/>
        </w:rPr>
        <w:t>В</w:t>
      </w:r>
      <w:r w:rsidRPr="00E32BE0">
        <w:rPr>
          <w:rFonts w:eastAsia="SimSun"/>
          <w:sz w:val="20"/>
          <w:szCs w:val="20"/>
          <w:lang w:val="en-US" w:eastAsia="zh-CN"/>
        </w:rPr>
        <w:t xml:space="preserve">, </w:t>
      </w:r>
      <w:r w:rsidRPr="00E32BE0">
        <w:rPr>
          <w:rFonts w:eastAsia="SimSun"/>
          <w:sz w:val="20"/>
          <w:szCs w:val="20"/>
          <w:lang w:val="ru-RU" w:eastAsia="zh-CN"/>
        </w:rPr>
        <w:t>Лойко</w:t>
      </w:r>
      <w:r w:rsidRPr="00E32BE0">
        <w:rPr>
          <w:rFonts w:eastAsia="SimSun"/>
          <w:sz w:val="20"/>
          <w:szCs w:val="20"/>
          <w:lang w:val="en-US" w:eastAsia="zh-CN"/>
        </w:rPr>
        <w:t xml:space="preserve"> </w:t>
      </w:r>
      <w:r w:rsidRPr="00E32BE0">
        <w:rPr>
          <w:rFonts w:eastAsia="SimSun"/>
          <w:sz w:val="20"/>
          <w:szCs w:val="20"/>
          <w:lang w:val="ru-RU" w:eastAsia="zh-CN"/>
        </w:rPr>
        <w:t>О</w:t>
      </w:r>
      <w:r w:rsidRPr="00E32BE0">
        <w:rPr>
          <w:rFonts w:eastAsia="SimSun"/>
          <w:sz w:val="20"/>
          <w:szCs w:val="20"/>
          <w:lang w:val="en-US" w:eastAsia="zh-CN"/>
        </w:rPr>
        <w:t xml:space="preserve">, </w:t>
      </w:r>
      <w:r w:rsidRPr="00E32BE0">
        <w:rPr>
          <w:rFonts w:eastAsia="SimSun"/>
          <w:sz w:val="20"/>
          <w:szCs w:val="20"/>
          <w:lang w:val="ru-RU" w:eastAsia="zh-CN"/>
        </w:rPr>
        <w:t>Пилипчак</w:t>
      </w:r>
      <w:r w:rsidRPr="00E32BE0">
        <w:rPr>
          <w:rFonts w:eastAsia="SimSun"/>
          <w:sz w:val="20"/>
          <w:szCs w:val="20"/>
          <w:lang w:val="en-US" w:eastAsia="zh-CN"/>
        </w:rPr>
        <w:t xml:space="preserve"> </w:t>
      </w:r>
      <w:r w:rsidRPr="00E32BE0">
        <w:rPr>
          <w:rFonts w:eastAsia="SimSun"/>
          <w:sz w:val="20"/>
          <w:szCs w:val="20"/>
          <w:lang w:val="ru-RU" w:eastAsia="zh-CN"/>
        </w:rPr>
        <w:t>І</w:t>
      </w:r>
      <w:r w:rsidRPr="00E32BE0">
        <w:rPr>
          <w:rFonts w:eastAsia="SimSun"/>
          <w:sz w:val="20"/>
          <w:szCs w:val="20"/>
          <w:lang w:val="en-US" w:eastAsia="zh-CN"/>
        </w:rPr>
        <w:t xml:space="preserve">, </w:t>
      </w:r>
      <w:r w:rsidRPr="00E32BE0">
        <w:rPr>
          <w:rFonts w:eastAsia="SimSun"/>
          <w:sz w:val="20"/>
          <w:szCs w:val="20"/>
          <w:lang w:val="ru-RU" w:eastAsia="zh-CN"/>
        </w:rPr>
        <w:t>Кузнецов</w:t>
      </w:r>
      <w:r w:rsidRPr="00E32BE0">
        <w:rPr>
          <w:rFonts w:eastAsia="SimSun"/>
          <w:sz w:val="20"/>
          <w:szCs w:val="20"/>
          <w:lang w:val="en-US" w:eastAsia="zh-CN"/>
        </w:rPr>
        <w:t xml:space="preserve"> </w:t>
      </w:r>
      <w:r w:rsidRPr="00E32BE0">
        <w:rPr>
          <w:rFonts w:eastAsia="SimSun"/>
          <w:sz w:val="20"/>
          <w:szCs w:val="20"/>
          <w:lang w:val="ru-RU" w:eastAsia="zh-CN"/>
        </w:rPr>
        <w:t>М</w:t>
      </w:r>
      <w:r w:rsidRPr="00E32BE0">
        <w:rPr>
          <w:rFonts w:eastAsia="SimSun"/>
          <w:sz w:val="20"/>
          <w:szCs w:val="20"/>
          <w:lang w:val="en-US" w:eastAsia="zh-CN"/>
        </w:rPr>
        <w:t xml:space="preserve">, </w:t>
      </w:r>
      <w:r w:rsidRPr="00E32BE0">
        <w:rPr>
          <w:rFonts w:eastAsia="SimSun"/>
          <w:sz w:val="20"/>
          <w:szCs w:val="20"/>
          <w:lang w:val="ru-RU" w:eastAsia="zh-CN"/>
        </w:rPr>
        <w:t>Лісовський</w:t>
      </w:r>
      <w:r w:rsidRPr="00E32BE0">
        <w:rPr>
          <w:rFonts w:eastAsia="SimSun"/>
          <w:sz w:val="20"/>
          <w:szCs w:val="20"/>
          <w:lang w:val="en-US" w:eastAsia="zh-CN"/>
        </w:rPr>
        <w:t xml:space="preserve"> </w:t>
      </w:r>
      <w:r w:rsidRPr="00E32BE0">
        <w:rPr>
          <w:rFonts w:eastAsia="SimSun"/>
          <w:sz w:val="20"/>
          <w:szCs w:val="20"/>
          <w:lang w:val="ru-RU" w:eastAsia="zh-CN"/>
        </w:rPr>
        <w:t>Б</w:t>
      </w:r>
      <w:r w:rsidRPr="00E32BE0">
        <w:rPr>
          <w:rFonts w:eastAsia="SimSun"/>
          <w:sz w:val="20"/>
          <w:szCs w:val="20"/>
          <w:lang w:val="en-US" w:eastAsia="zh-CN"/>
        </w:rPr>
        <w:t xml:space="preserve">. </w:t>
      </w:r>
      <w:r w:rsidRPr="00E32BE0">
        <w:rPr>
          <w:rFonts w:eastAsia="SimSun"/>
          <w:sz w:val="20"/>
          <w:szCs w:val="20"/>
          <w:lang w:val="ru-RU" w:eastAsia="zh-CN"/>
        </w:rPr>
        <w:t>Вплив</w:t>
      </w:r>
      <w:r w:rsidRPr="00E32BE0">
        <w:rPr>
          <w:rFonts w:eastAsia="SimSun"/>
          <w:sz w:val="20"/>
          <w:szCs w:val="20"/>
          <w:lang w:val="en-US" w:eastAsia="zh-CN"/>
        </w:rPr>
        <w:t xml:space="preserve"> </w:t>
      </w:r>
      <w:r w:rsidRPr="00E32BE0">
        <w:rPr>
          <w:rFonts w:eastAsia="SimSun"/>
          <w:sz w:val="20"/>
          <w:szCs w:val="20"/>
          <w:lang w:val="ru-RU" w:eastAsia="zh-CN"/>
        </w:rPr>
        <w:t>спортивних</w:t>
      </w:r>
      <w:r w:rsidRPr="00E32BE0">
        <w:rPr>
          <w:rFonts w:eastAsia="SimSun"/>
          <w:sz w:val="20"/>
          <w:szCs w:val="20"/>
          <w:lang w:val="en-US" w:eastAsia="zh-CN"/>
        </w:rPr>
        <w:t xml:space="preserve"> </w:t>
      </w:r>
      <w:r w:rsidRPr="00E32BE0">
        <w:rPr>
          <w:rFonts w:eastAsia="SimSun"/>
          <w:sz w:val="20"/>
          <w:szCs w:val="20"/>
          <w:lang w:val="ru-RU" w:eastAsia="zh-CN"/>
        </w:rPr>
        <w:t>єдиноборств</w:t>
      </w:r>
      <w:r w:rsidRPr="00E32BE0">
        <w:rPr>
          <w:rFonts w:eastAsia="SimSun"/>
          <w:sz w:val="20"/>
          <w:szCs w:val="20"/>
          <w:lang w:val="en-US" w:eastAsia="zh-CN"/>
        </w:rPr>
        <w:t xml:space="preserve"> </w:t>
      </w:r>
      <w:r w:rsidRPr="00E32BE0">
        <w:rPr>
          <w:rFonts w:eastAsia="SimSun"/>
          <w:sz w:val="20"/>
          <w:szCs w:val="20"/>
          <w:lang w:val="ru-RU" w:eastAsia="zh-CN"/>
        </w:rPr>
        <w:t>на</w:t>
      </w:r>
      <w:r w:rsidRPr="00E32BE0">
        <w:rPr>
          <w:rFonts w:eastAsia="SimSun"/>
          <w:sz w:val="20"/>
          <w:szCs w:val="20"/>
          <w:lang w:val="en-US" w:eastAsia="zh-CN"/>
        </w:rPr>
        <w:t xml:space="preserve"> </w:t>
      </w:r>
      <w:r w:rsidRPr="00E32BE0">
        <w:rPr>
          <w:rFonts w:eastAsia="SimSun"/>
          <w:sz w:val="20"/>
          <w:szCs w:val="20"/>
          <w:lang w:val="ru-RU" w:eastAsia="zh-CN"/>
        </w:rPr>
        <w:t>удосконалення</w:t>
      </w:r>
      <w:r w:rsidRPr="00E32BE0">
        <w:rPr>
          <w:rFonts w:eastAsia="SimSun"/>
          <w:sz w:val="20"/>
          <w:szCs w:val="20"/>
          <w:lang w:val="en-US" w:eastAsia="zh-CN"/>
        </w:rPr>
        <w:t xml:space="preserve"> </w:t>
      </w:r>
      <w:r w:rsidRPr="00E32BE0">
        <w:rPr>
          <w:rFonts w:eastAsia="SimSun"/>
          <w:sz w:val="20"/>
          <w:szCs w:val="20"/>
          <w:lang w:val="ru-RU" w:eastAsia="zh-CN"/>
        </w:rPr>
        <w:t>спеціальної</w:t>
      </w:r>
      <w:r w:rsidRPr="00E32BE0">
        <w:rPr>
          <w:rFonts w:eastAsia="SimSun"/>
          <w:sz w:val="20"/>
          <w:szCs w:val="20"/>
          <w:lang w:val="en-US" w:eastAsia="zh-CN"/>
        </w:rPr>
        <w:t xml:space="preserve"> </w:t>
      </w:r>
      <w:r w:rsidRPr="00E32BE0">
        <w:rPr>
          <w:rFonts w:eastAsia="SimSun"/>
          <w:sz w:val="20"/>
          <w:szCs w:val="20"/>
          <w:lang w:val="ru-RU" w:eastAsia="zh-CN"/>
        </w:rPr>
        <w:t>фізичної</w:t>
      </w:r>
      <w:r w:rsidRPr="00E32BE0">
        <w:rPr>
          <w:rFonts w:eastAsia="SimSun"/>
          <w:sz w:val="20"/>
          <w:szCs w:val="20"/>
          <w:lang w:val="en-US" w:eastAsia="zh-CN"/>
        </w:rPr>
        <w:t xml:space="preserve"> </w:t>
      </w:r>
      <w:r w:rsidRPr="00E32BE0">
        <w:rPr>
          <w:rFonts w:eastAsia="SimSun"/>
          <w:sz w:val="20"/>
          <w:szCs w:val="20"/>
          <w:lang w:val="ru-RU" w:eastAsia="zh-CN"/>
        </w:rPr>
        <w:t>підготовленості</w:t>
      </w:r>
      <w:r w:rsidRPr="00E32BE0">
        <w:rPr>
          <w:rFonts w:eastAsia="SimSun"/>
          <w:sz w:val="20"/>
          <w:szCs w:val="20"/>
          <w:lang w:val="en-US" w:eastAsia="zh-CN"/>
        </w:rPr>
        <w:t xml:space="preserve"> </w:t>
      </w:r>
      <w:r w:rsidRPr="00E32BE0">
        <w:rPr>
          <w:rFonts w:eastAsia="SimSun"/>
          <w:sz w:val="20"/>
          <w:szCs w:val="20"/>
          <w:lang w:val="ru-RU" w:eastAsia="zh-CN"/>
        </w:rPr>
        <w:t>військовослужбовців</w:t>
      </w:r>
      <w:r w:rsidRPr="00E32BE0">
        <w:rPr>
          <w:rFonts w:eastAsia="SimSun"/>
          <w:sz w:val="20"/>
          <w:szCs w:val="20"/>
          <w:lang w:val="en-US" w:eastAsia="zh-CN"/>
        </w:rPr>
        <w:t xml:space="preserve">. </w:t>
      </w:r>
      <w:r w:rsidRPr="00E32BE0">
        <w:rPr>
          <w:rFonts w:eastAsia="SimSun"/>
          <w:sz w:val="20"/>
          <w:szCs w:val="20"/>
          <w:lang w:val="ru-RU" w:eastAsia="zh-CN"/>
        </w:rPr>
        <w:t>Вісник Прикарпатського університету. Серія: Фізична культура. 2018;30:80</w:t>
      </w:r>
      <w:r w:rsidR="00DA6CC0">
        <w:rPr>
          <w:rFonts w:eastAsia="SimSun"/>
          <w:sz w:val="20"/>
          <w:szCs w:val="20"/>
          <w:lang w:val="ru-RU" w:eastAsia="zh-CN"/>
        </w:rPr>
        <w:t>-</w:t>
      </w:r>
      <w:r w:rsidRPr="00E32BE0">
        <w:rPr>
          <w:rFonts w:eastAsia="SimSun"/>
          <w:sz w:val="20"/>
          <w:szCs w:val="20"/>
          <w:lang w:val="ru-RU" w:eastAsia="zh-CN"/>
        </w:rPr>
        <w:t>7.</w:t>
      </w:r>
      <w:bookmarkEnd w:id="12"/>
      <w:r w:rsidRPr="00E32BE0">
        <w:rPr>
          <w:rFonts w:eastAsia="SimSun"/>
          <w:sz w:val="20"/>
          <w:szCs w:val="20"/>
          <w:lang w:val="ru-RU" w:eastAsia="zh-CN"/>
        </w:rPr>
        <w:t xml:space="preserve"> </w:t>
      </w:r>
      <w:hyperlink r:id="rId39" w:history="1">
        <w:r w:rsidR="00DA6CC0" w:rsidRPr="00646581">
          <w:rPr>
            <w:rStyle w:val="af3"/>
            <w:rFonts w:eastAsia="SimSun"/>
            <w:sz w:val="20"/>
            <w:szCs w:val="20"/>
            <w:lang w:val="ru-RU" w:eastAsia="zh-CN"/>
          </w:rPr>
          <w:t>https://doi.org/10.15330/fcult.30.80-87</w:t>
        </w:r>
      </w:hyperlink>
      <w:r w:rsidR="00DA6CC0">
        <w:rPr>
          <w:rFonts w:eastAsia="SimSun"/>
          <w:sz w:val="20"/>
          <w:szCs w:val="20"/>
          <w:lang w:val="ru-RU" w:eastAsia="zh-CN"/>
        </w:rPr>
        <w:t xml:space="preserve"> .</w:t>
      </w:r>
    </w:p>
    <w:p w:rsidR="00E32BE0" w:rsidRPr="00E32BE0" w:rsidRDefault="00E32BE0" w:rsidP="00E32BE0">
      <w:pPr>
        <w:numPr>
          <w:ilvl w:val="0"/>
          <w:numId w:val="6"/>
        </w:numPr>
        <w:spacing w:after="0" w:line="240" w:lineRule="auto"/>
        <w:ind w:left="0" w:firstLine="0"/>
        <w:jc w:val="both"/>
        <w:rPr>
          <w:rFonts w:eastAsia="SimSun"/>
          <w:sz w:val="20"/>
          <w:szCs w:val="20"/>
          <w:lang w:val="ru-RU" w:eastAsia="zh-CN"/>
        </w:rPr>
      </w:pPr>
      <w:bookmarkStart w:id="13" w:name="_Ref225091817"/>
      <w:r w:rsidRPr="00E32BE0">
        <w:rPr>
          <w:rFonts w:eastAsia="SimSun"/>
          <w:sz w:val="20"/>
          <w:szCs w:val="20"/>
          <w:lang w:val="ru-RU" w:eastAsia="zh-CN"/>
        </w:rPr>
        <w:t xml:space="preserve">Анохін Є, Романчук С, Афонін В, Лойко О, Петрук А. Аналіз організаційної структури управління системи фізичної підготовки Збройних Сил України. </w:t>
      </w:r>
      <w:r w:rsidRPr="00E32BE0">
        <w:rPr>
          <w:rFonts w:eastAsia="SimSun"/>
          <w:i/>
          <w:iCs/>
          <w:sz w:val="20"/>
          <w:szCs w:val="20"/>
          <w:lang w:val="ru-RU" w:eastAsia="zh-CN"/>
        </w:rPr>
        <w:t>Фізичне виховання, спорт і культура здоров’я у сучасному суспільстві</w:t>
      </w:r>
      <w:r w:rsidRPr="00E32BE0">
        <w:rPr>
          <w:rFonts w:eastAsia="SimSun"/>
          <w:sz w:val="20"/>
          <w:szCs w:val="20"/>
          <w:lang w:val="ru-RU" w:eastAsia="zh-CN"/>
        </w:rPr>
        <w:t>. 2023;1:3</w:t>
      </w:r>
      <w:r w:rsidR="00DA6CC0">
        <w:rPr>
          <w:rFonts w:eastAsia="SimSun"/>
          <w:sz w:val="20"/>
          <w:szCs w:val="20"/>
          <w:lang w:val="ru-RU" w:eastAsia="zh-CN"/>
        </w:rPr>
        <w:t>-</w:t>
      </w:r>
      <w:r w:rsidRPr="00E32BE0">
        <w:rPr>
          <w:rFonts w:eastAsia="SimSun"/>
          <w:sz w:val="20"/>
          <w:szCs w:val="20"/>
          <w:lang w:val="ru-RU" w:eastAsia="zh-CN"/>
        </w:rPr>
        <w:t xml:space="preserve">13. </w:t>
      </w:r>
      <w:hyperlink r:id="rId40" w:tgtFrame="C:\Users\Orest\AppData\Local\Temp\_new" w:history="1">
        <w:r w:rsidRPr="00E32BE0">
          <w:rPr>
            <w:rFonts w:eastAsia="SimSun"/>
            <w:color w:val="0000FF"/>
            <w:sz w:val="20"/>
            <w:szCs w:val="20"/>
            <w:u w:val="single"/>
            <w:lang w:val="en-US" w:eastAsia="zh-CN"/>
          </w:rPr>
          <w:t>https</w:t>
        </w:r>
        <w:r w:rsidRPr="00E32BE0">
          <w:rPr>
            <w:rFonts w:eastAsia="SimSun"/>
            <w:color w:val="0000FF"/>
            <w:sz w:val="20"/>
            <w:szCs w:val="20"/>
            <w:u w:val="single"/>
            <w:lang w:val="ru-RU" w:eastAsia="zh-CN"/>
          </w:rPr>
          <w:t>://</w:t>
        </w:r>
        <w:r w:rsidRPr="00E32BE0">
          <w:rPr>
            <w:rFonts w:eastAsia="SimSun"/>
            <w:color w:val="0000FF"/>
            <w:sz w:val="20"/>
            <w:szCs w:val="20"/>
            <w:u w:val="single"/>
            <w:lang w:val="en-US" w:eastAsia="zh-CN"/>
          </w:rPr>
          <w:t>doi</w:t>
        </w:r>
        <w:r w:rsidRPr="00E32BE0">
          <w:rPr>
            <w:rFonts w:eastAsia="SimSun"/>
            <w:color w:val="0000FF"/>
            <w:sz w:val="20"/>
            <w:szCs w:val="20"/>
            <w:u w:val="single"/>
            <w:lang w:val="ru-RU" w:eastAsia="zh-CN"/>
          </w:rPr>
          <w:t>.</w:t>
        </w:r>
        <w:r w:rsidRPr="00E32BE0">
          <w:rPr>
            <w:rFonts w:eastAsia="SimSun"/>
            <w:color w:val="0000FF"/>
            <w:sz w:val="20"/>
            <w:szCs w:val="20"/>
            <w:u w:val="single"/>
            <w:lang w:val="en-US" w:eastAsia="zh-CN"/>
          </w:rPr>
          <w:t>org</w:t>
        </w:r>
        <w:r w:rsidRPr="00E32BE0">
          <w:rPr>
            <w:rFonts w:eastAsia="SimSun"/>
            <w:color w:val="0000FF"/>
            <w:sz w:val="20"/>
            <w:szCs w:val="20"/>
            <w:u w:val="single"/>
            <w:lang w:val="ru-RU" w:eastAsia="zh-CN"/>
          </w:rPr>
          <w:t>/10.29038/2220-7481-2023-01-03-13</w:t>
        </w:r>
      </w:hyperlink>
      <w:r w:rsidRPr="00E32BE0">
        <w:rPr>
          <w:rFonts w:eastAsia="SimSun"/>
          <w:sz w:val="20"/>
          <w:szCs w:val="20"/>
          <w:lang w:val="ru-RU" w:eastAsia="zh-CN"/>
        </w:rPr>
        <w:t>.</w:t>
      </w:r>
      <w:bookmarkEnd w:id="13"/>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4" w:name="_Ref225091824"/>
      <w:r w:rsidRPr="00E32BE0">
        <w:rPr>
          <w:rFonts w:eastAsia="SimSun"/>
          <w:sz w:val="20"/>
          <w:szCs w:val="20"/>
          <w:lang w:val="en-US" w:eastAsia="zh-CN"/>
        </w:rPr>
        <w:t xml:space="preserve">Smith C, Doma K, Heilbronn B, Leicht A. Effects of exercise training programs on physical fitness domains in military personnel: a systematic review and meta-analysis. </w:t>
      </w:r>
      <w:r w:rsidRPr="00E32BE0">
        <w:rPr>
          <w:rFonts w:eastAsia="SimSun"/>
          <w:i/>
          <w:iCs/>
          <w:sz w:val="20"/>
          <w:szCs w:val="20"/>
          <w:lang w:val="en-US" w:eastAsia="zh-CN"/>
        </w:rPr>
        <w:t>Military Medicine</w:t>
      </w:r>
      <w:r w:rsidRPr="00E32BE0">
        <w:rPr>
          <w:rFonts w:eastAsia="SimSun"/>
          <w:sz w:val="20"/>
          <w:szCs w:val="20"/>
          <w:lang w:val="en-US" w:eastAsia="zh-CN"/>
        </w:rPr>
        <w:t>. 2022;187(9–10):1065</w:t>
      </w:r>
      <w:r w:rsidR="00DA6CC0">
        <w:rPr>
          <w:rFonts w:eastAsia="SimSun"/>
          <w:sz w:val="20"/>
          <w:szCs w:val="20"/>
          <w:lang w:eastAsia="zh-CN"/>
        </w:rPr>
        <w:t>-</w:t>
      </w:r>
      <w:r w:rsidRPr="00E32BE0">
        <w:rPr>
          <w:rFonts w:eastAsia="SimSun"/>
          <w:sz w:val="20"/>
          <w:szCs w:val="20"/>
          <w:lang w:val="en-US" w:eastAsia="zh-CN"/>
        </w:rPr>
        <w:t xml:space="preserve">73. </w:t>
      </w:r>
      <w:hyperlink r:id="rId41" w:tgtFrame="C:\Users\Orest\AppData\Local\Temp\_new" w:history="1">
        <w:r w:rsidRPr="00E32BE0">
          <w:rPr>
            <w:rFonts w:eastAsia="SimSun"/>
            <w:color w:val="0000FF"/>
            <w:sz w:val="20"/>
            <w:szCs w:val="20"/>
            <w:u w:val="single"/>
            <w:lang w:val="en-US" w:eastAsia="zh-CN"/>
          </w:rPr>
          <w:t>https://doi.org/10.1093/milmed/usac040</w:t>
        </w:r>
      </w:hyperlink>
      <w:r w:rsidRPr="00E32BE0">
        <w:rPr>
          <w:rFonts w:eastAsia="SimSun"/>
          <w:sz w:val="20"/>
          <w:szCs w:val="20"/>
          <w:lang w:val="en-US" w:eastAsia="zh-CN"/>
        </w:rPr>
        <w:t>.</w:t>
      </w:r>
      <w:bookmarkEnd w:id="14"/>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5" w:name="_Ref225091833"/>
      <w:r w:rsidRPr="00E32BE0">
        <w:rPr>
          <w:rFonts w:eastAsia="SimSun"/>
          <w:sz w:val="20"/>
          <w:szCs w:val="20"/>
          <w:lang w:val="en-US" w:eastAsia="zh-CN"/>
        </w:rPr>
        <w:t xml:space="preserve">Newman K, Sachs van der Weijden M, Martin J. Investigation of modified lifestyle and fitness models in Reserve Officers’ Training Corps cadets. </w:t>
      </w:r>
      <w:r w:rsidRPr="00E32BE0">
        <w:rPr>
          <w:rFonts w:eastAsia="SimSun"/>
          <w:i/>
          <w:iCs/>
          <w:sz w:val="20"/>
          <w:szCs w:val="20"/>
          <w:lang w:val="en-US" w:eastAsia="zh-CN"/>
        </w:rPr>
        <w:t>Military Medicine</w:t>
      </w:r>
      <w:r w:rsidRPr="00E32BE0">
        <w:rPr>
          <w:rFonts w:eastAsia="SimSun"/>
          <w:sz w:val="20"/>
          <w:szCs w:val="20"/>
          <w:lang w:val="en-US" w:eastAsia="zh-CN"/>
        </w:rPr>
        <w:t xml:space="preserve">. 2026;191(1–2):e70–e76. </w:t>
      </w:r>
      <w:hyperlink r:id="rId42" w:tgtFrame="C:\Users\Orest\AppData\Local\Temp\_new" w:history="1">
        <w:r w:rsidRPr="00E32BE0">
          <w:rPr>
            <w:rFonts w:eastAsia="SimSun"/>
            <w:color w:val="0000FF"/>
            <w:sz w:val="20"/>
            <w:szCs w:val="20"/>
            <w:u w:val="single"/>
            <w:lang w:val="en-US" w:eastAsia="zh-CN"/>
          </w:rPr>
          <w:t>https://doi.org/10.1093/milmed/usaf307</w:t>
        </w:r>
      </w:hyperlink>
      <w:r w:rsidRPr="00E32BE0">
        <w:rPr>
          <w:rFonts w:eastAsia="SimSun"/>
          <w:sz w:val="20"/>
          <w:szCs w:val="20"/>
          <w:lang w:val="en-US" w:eastAsia="zh-CN"/>
        </w:rPr>
        <w:t>.</w:t>
      </w:r>
      <w:bookmarkEnd w:id="15"/>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6" w:name="_Ref225091878"/>
      <w:r w:rsidRPr="00E32BE0">
        <w:rPr>
          <w:rFonts w:eastAsia="SimSun"/>
          <w:sz w:val="20"/>
          <w:szCs w:val="20"/>
          <w:lang w:val="en-US" w:eastAsia="zh-CN"/>
        </w:rPr>
        <w:t xml:space="preserve">Kraemer WJ, Ratamess NA. Fundamentals of resistance training: progression and exercise prescription. </w:t>
      </w:r>
      <w:r w:rsidRPr="00E32BE0">
        <w:rPr>
          <w:rFonts w:eastAsia="SimSun"/>
          <w:i/>
          <w:iCs/>
          <w:sz w:val="20"/>
          <w:szCs w:val="20"/>
          <w:lang w:val="en-US" w:eastAsia="zh-CN"/>
        </w:rPr>
        <w:t>Medicine &amp; Science in Sports &amp; Exercise</w:t>
      </w:r>
      <w:r w:rsidRPr="00E32BE0">
        <w:rPr>
          <w:rFonts w:eastAsia="SimSun"/>
          <w:sz w:val="20"/>
          <w:szCs w:val="20"/>
          <w:lang w:val="en-US" w:eastAsia="zh-CN"/>
        </w:rPr>
        <w:t>. 2004;36(4):674</w:t>
      </w:r>
      <w:r w:rsidR="00DA6CC0">
        <w:rPr>
          <w:rFonts w:eastAsia="SimSun"/>
          <w:sz w:val="20"/>
          <w:szCs w:val="20"/>
          <w:lang w:eastAsia="zh-CN"/>
        </w:rPr>
        <w:t>-</w:t>
      </w:r>
      <w:r w:rsidRPr="00E32BE0">
        <w:rPr>
          <w:rFonts w:eastAsia="SimSun"/>
          <w:sz w:val="20"/>
          <w:szCs w:val="20"/>
          <w:lang w:val="en-US" w:eastAsia="zh-CN"/>
        </w:rPr>
        <w:t>88.</w:t>
      </w:r>
      <w:bookmarkEnd w:id="16"/>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7" w:name="_Ref225091888"/>
      <w:r w:rsidRPr="00E32BE0">
        <w:rPr>
          <w:rFonts w:eastAsia="SimSun"/>
          <w:sz w:val="20"/>
          <w:szCs w:val="20"/>
          <w:lang w:val="en-US" w:eastAsia="zh-CN"/>
        </w:rPr>
        <w:lastRenderedPageBreak/>
        <w:t xml:space="preserve">Twaryanas AP, Greenwell B, Wiesen GJ, Maupin JM. Commander wellness program: associations between health metrics and physical fitness assessment scores. </w:t>
      </w:r>
      <w:r w:rsidRPr="00E32BE0">
        <w:rPr>
          <w:rFonts w:eastAsia="SimSun"/>
          <w:i/>
          <w:iCs/>
          <w:sz w:val="20"/>
          <w:szCs w:val="20"/>
          <w:lang w:val="en-US" w:eastAsia="zh-CN"/>
        </w:rPr>
        <w:t>Military Medicine</w:t>
      </w:r>
      <w:r w:rsidRPr="00E32BE0">
        <w:rPr>
          <w:rFonts w:eastAsia="SimSun"/>
          <w:sz w:val="20"/>
          <w:szCs w:val="20"/>
          <w:lang w:val="en-US" w:eastAsia="zh-CN"/>
        </w:rPr>
        <w:t xml:space="preserve">. 2018;183(9–10):e612–e618. </w:t>
      </w:r>
      <w:hyperlink r:id="rId43" w:tgtFrame="C:\Users\Orest\AppData\Local\Temp\_new" w:history="1">
        <w:r w:rsidRPr="00E32BE0">
          <w:rPr>
            <w:rFonts w:eastAsia="SimSun"/>
            <w:color w:val="0000FF"/>
            <w:sz w:val="20"/>
            <w:szCs w:val="20"/>
            <w:u w:val="single"/>
            <w:lang w:val="en-US" w:eastAsia="zh-CN"/>
          </w:rPr>
          <w:t>https://doi.org/10.1093/milmed/usx221</w:t>
        </w:r>
      </w:hyperlink>
      <w:r w:rsidRPr="00E32BE0">
        <w:rPr>
          <w:rFonts w:eastAsia="SimSun"/>
          <w:sz w:val="20"/>
          <w:szCs w:val="20"/>
          <w:lang w:val="en-US" w:eastAsia="zh-CN"/>
        </w:rPr>
        <w:t>.</w:t>
      </w:r>
      <w:bookmarkEnd w:id="17"/>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8" w:name="_Ref225091899"/>
      <w:r w:rsidRPr="00E32BE0">
        <w:rPr>
          <w:rFonts w:eastAsia="SimSun"/>
          <w:sz w:val="20"/>
          <w:szCs w:val="20"/>
          <w:lang w:val="en-US" w:eastAsia="zh-CN"/>
        </w:rPr>
        <w:t xml:space="preserve">Roberts BM, Rushing KA, Pleasants EP. Sex differences in body composition and physical fitness among ROTC cadets. </w:t>
      </w:r>
      <w:r w:rsidRPr="00E32BE0">
        <w:rPr>
          <w:rFonts w:eastAsia="SimSun"/>
          <w:i/>
          <w:iCs/>
          <w:sz w:val="20"/>
          <w:szCs w:val="20"/>
          <w:lang w:val="en-US" w:eastAsia="zh-CN"/>
        </w:rPr>
        <w:t>Military Medicine</w:t>
      </w:r>
      <w:r w:rsidRPr="00E32BE0">
        <w:rPr>
          <w:rFonts w:eastAsia="SimSun"/>
          <w:sz w:val="20"/>
          <w:szCs w:val="20"/>
          <w:lang w:val="en-US" w:eastAsia="zh-CN"/>
        </w:rPr>
        <w:t xml:space="preserve">. 2023;188(1–2):e1–e5. </w:t>
      </w:r>
      <w:hyperlink r:id="rId44" w:tgtFrame="C:\Users\Orest\AppData\Local\Temp\_new" w:history="1">
        <w:r w:rsidRPr="00E32BE0">
          <w:rPr>
            <w:rFonts w:eastAsia="SimSun"/>
            <w:color w:val="0000FF"/>
            <w:sz w:val="20"/>
            <w:szCs w:val="20"/>
            <w:u w:val="single"/>
            <w:lang w:val="en-US" w:eastAsia="zh-CN"/>
          </w:rPr>
          <w:t>https://doi.org/10.1093/milmed/usaa496</w:t>
        </w:r>
      </w:hyperlink>
      <w:r w:rsidRPr="00E32BE0">
        <w:rPr>
          <w:rFonts w:eastAsia="SimSun"/>
          <w:sz w:val="20"/>
          <w:szCs w:val="20"/>
          <w:lang w:val="en-US" w:eastAsia="zh-CN"/>
        </w:rPr>
        <w:t>.</w:t>
      </w:r>
      <w:bookmarkEnd w:id="18"/>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19" w:name="_Ref225091907"/>
      <w:r w:rsidRPr="00E32BE0">
        <w:rPr>
          <w:rFonts w:eastAsia="SimSun"/>
          <w:sz w:val="20"/>
          <w:szCs w:val="20"/>
          <w:lang w:val="en-US" w:eastAsia="zh-CN"/>
        </w:rPr>
        <w:t xml:space="preserve">Nikolaidis PT, Papaiannou KG, Rosemann T, Knechtle B. Muscular strength testing in the military. </w:t>
      </w:r>
      <w:r w:rsidRPr="00E32BE0">
        <w:rPr>
          <w:rFonts w:eastAsia="SimSun"/>
          <w:i/>
          <w:iCs/>
          <w:sz w:val="20"/>
          <w:szCs w:val="20"/>
          <w:lang w:val="en-US" w:eastAsia="zh-CN"/>
        </w:rPr>
        <w:t>Military Medicine</w:t>
      </w:r>
      <w:r w:rsidRPr="00E32BE0">
        <w:rPr>
          <w:rFonts w:eastAsia="SimSun"/>
          <w:sz w:val="20"/>
          <w:szCs w:val="20"/>
          <w:lang w:val="en-US" w:eastAsia="zh-CN"/>
        </w:rPr>
        <w:t xml:space="preserve">. 2019;184(9–10):e426–e430. </w:t>
      </w:r>
      <w:hyperlink r:id="rId45" w:tgtFrame="C:\Users\Orest\AppData\Local\Temp\_new" w:history="1">
        <w:r w:rsidRPr="00E32BE0">
          <w:rPr>
            <w:rFonts w:eastAsia="SimSun"/>
            <w:color w:val="0000FF"/>
            <w:sz w:val="20"/>
            <w:szCs w:val="20"/>
            <w:u w:val="single"/>
            <w:lang w:val="en-US" w:eastAsia="zh-CN"/>
          </w:rPr>
          <w:t>https://doi.org/10.1093/milmed/usz152</w:t>
        </w:r>
      </w:hyperlink>
      <w:r w:rsidRPr="00E32BE0">
        <w:rPr>
          <w:rFonts w:eastAsia="SimSun"/>
          <w:sz w:val="20"/>
          <w:szCs w:val="20"/>
          <w:lang w:val="en-US" w:eastAsia="zh-CN"/>
        </w:rPr>
        <w:t>.</w:t>
      </w:r>
      <w:bookmarkEnd w:id="19"/>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20" w:name="_Ref225091980"/>
      <w:r w:rsidRPr="00E32BE0">
        <w:rPr>
          <w:rFonts w:eastAsia="SimSun"/>
          <w:sz w:val="20"/>
          <w:szCs w:val="20"/>
          <w:lang w:val="en-US" w:eastAsia="zh-CN"/>
        </w:rPr>
        <w:t xml:space="preserve">McEvoy R, Batrakoulis A, Kamhi S, Sansone J, Stanfield J, Reed R. ACSM’s worldwide fitness trends for 2026: future directions of the health and fitness industry. </w:t>
      </w:r>
      <w:r w:rsidRPr="00E32BE0">
        <w:rPr>
          <w:rFonts w:eastAsia="SimSun"/>
          <w:i/>
          <w:iCs/>
          <w:sz w:val="20"/>
          <w:szCs w:val="20"/>
          <w:lang w:val="en-US" w:eastAsia="zh-CN"/>
        </w:rPr>
        <w:t>ACSM’s Health &amp; Fitness Journal</w:t>
      </w:r>
      <w:r w:rsidRPr="00E32BE0">
        <w:rPr>
          <w:rFonts w:eastAsia="SimSun"/>
          <w:sz w:val="20"/>
          <w:szCs w:val="20"/>
          <w:lang w:val="en-US" w:eastAsia="zh-CN"/>
        </w:rPr>
        <w:t>. 2025;29(6):16</w:t>
      </w:r>
      <w:r w:rsidR="00DA6CC0">
        <w:rPr>
          <w:rFonts w:eastAsia="SimSun"/>
          <w:sz w:val="20"/>
          <w:szCs w:val="20"/>
          <w:lang w:eastAsia="zh-CN"/>
        </w:rPr>
        <w:t>-</w:t>
      </w:r>
      <w:r w:rsidRPr="00E32BE0">
        <w:rPr>
          <w:rFonts w:eastAsia="SimSun"/>
          <w:sz w:val="20"/>
          <w:szCs w:val="20"/>
          <w:lang w:val="en-US" w:eastAsia="zh-CN"/>
        </w:rPr>
        <w:t xml:space="preserve">33. </w:t>
      </w:r>
      <w:hyperlink r:id="rId46" w:tgtFrame="C:\Users\Orest\AppData\Local\Temp\_new" w:history="1">
        <w:r w:rsidRPr="00E32BE0">
          <w:rPr>
            <w:rFonts w:eastAsia="SimSun"/>
            <w:color w:val="0000FF"/>
            <w:sz w:val="20"/>
            <w:szCs w:val="20"/>
            <w:u w:val="single"/>
            <w:lang w:val="en-US" w:eastAsia="zh-CN"/>
          </w:rPr>
          <w:t>https://doi.org/10.1249/FIT.0000000000001110</w:t>
        </w:r>
      </w:hyperlink>
      <w:r w:rsidRPr="00E32BE0">
        <w:rPr>
          <w:rFonts w:eastAsia="SimSun"/>
          <w:sz w:val="20"/>
          <w:szCs w:val="20"/>
          <w:lang w:val="en-US" w:eastAsia="zh-CN"/>
        </w:rPr>
        <w:t>.</w:t>
      </w:r>
      <w:bookmarkEnd w:id="20"/>
      <w:r w:rsidRPr="00E32BE0">
        <w:rPr>
          <w:rFonts w:eastAsia="SimSun"/>
          <w:sz w:val="20"/>
          <w:szCs w:val="20"/>
          <w:lang w:val="en-US" w:eastAsia="zh-CN"/>
        </w:rPr>
        <w:tab/>
      </w:r>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21" w:name="_Ref225092162"/>
      <w:r w:rsidRPr="00E32BE0">
        <w:rPr>
          <w:rFonts w:eastAsia="SimSun"/>
          <w:sz w:val="20"/>
          <w:szCs w:val="20"/>
          <w:lang w:val="en-US" w:eastAsia="zh-CN"/>
        </w:rPr>
        <w:t xml:space="preserve">Trent LK, Hurtado SL. Longitudinal trends and gender differences in physical fitness and lifestyle among U.S. Navy personnel (1983–1994). </w:t>
      </w:r>
      <w:r w:rsidRPr="00E32BE0">
        <w:rPr>
          <w:rFonts w:eastAsia="SimSun"/>
          <w:i/>
          <w:iCs/>
          <w:sz w:val="20"/>
          <w:szCs w:val="20"/>
          <w:lang w:val="en-US" w:eastAsia="zh-CN"/>
        </w:rPr>
        <w:t>Military Medicine</w:t>
      </w:r>
      <w:r w:rsidRPr="00E32BE0">
        <w:rPr>
          <w:rFonts w:eastAsia="SimSun"/>
          <w:sz w:val="20"/>
          <w:szCs w:val="20"/>
          <w:lang w:val="en-US" w:eastAsia="zh-CN"/>
        </w:rPr>
        <w:t>. 1998;163(6):398</w:t>
      </w:r>
      <w:r w:rsidR="00DA6CC0">
        <w:rPr>
          <w:rFonts w:eastAsia="SimSun"/>
          <w:sz w:val="20"/>
          <w:szCs w:val="20"/>
          <w:lang w:eastAsia="zh-CN"/>
        </w:rPr>
        <w:t>-</w:t>
      </w:r>
      <w:r w:rsidRPr="00E32BE0">
        <w:rPr>
          <w:rFonts w:eastAsia="SimSun"/>
          <w:sz w:val="20"/>
          <w:szCs w:val="20"/>
          <w:lang w:val="en-US" w:eastAsia="zh-CN"/>
        </w:rPr>
        <w:t xml:space="preserve">407. </w:t>
      </w:r>
      <w:hyperlink r:id="rId47" w:tgtFrame="C:\Users\Orest\AppData\Local\Temp\_new" w:history="1">
        <w:r w:rsidRPr="00E32BE0">
          <w:rPr>
            <w:rFonts w:eastAsia="SimSun"/>
            <w:color w:val="0000FF"/>
            <w:sz w:val="20"/>
            <w:szCs w:val="20"/>
            <w:u w:val="single"/>
            <w:lang w:val="en-US" w:eastAsia="zh-CN"/>
          </w:rPr>
          <w:t>https://doi.org/10.1093/milmed/163.6.398</w:t>
        </w:r>
      </w:hyperlink>
      <w:r w:rsidRPr="00E32BE0">
        <w:rPr>
          <w:rFonts w:eastAsia="SimSun"/>
          <w:sz w:val="20"/>
          <w:szCs w:val="20"/>
          <w:lang w:val="en-US" w:eastAsia="zh-CN"/>
        </w:rPr>
        <w:t>.</w:t>
      </w:r>
      <w:bookmarkEnd w:id="21"/>
      <w:r w:rsidRPr="00E32BE0">
        <w:rPr>
          <w:rFonts w:eastAsia="SimSun"/>
          <w:sz w:val="20"/>
          <w:szCs w:val="20"/>
          <w:lang w:val="en-US" w:eastAsia="zh-CN"/>
        </w:rPr>
        <w:tab/>
      </w:r>
    </w:p>
    <w:p w:rsidR="00E32BE0" w:rsidRPr="00E32BE0" w:rsidRDefault="00E32BE0" w:rsidP="00E32BE0">
      <w:pPr>
        <w:numPr>
          <w:ilvl w:val="0"/>
          <w:numId w:val="6"/>
        </w:numPr>
        <w:spacing w:after="0" w:line="240" w:lineRule="auto"/>
        <w:ind w:left="0" w:firstLine="0"/>
        <w:jc w:val="both"/>
        <w:rPr>
          <w:sz w:val="20"/>
          <w:szCs w:val="20"/>
          <w:lang w:val="ru-RU"/>
        </w:rPr>
      </w:pPr>
      <w:bookmarkStart w:id="22" w:name="_Ref225092204"/>
      <w:r w:rsidRPr="00E32BE0">
        <w:rPr>
          <w:rFonts w:eastAsia="SimSun"/>
          <w:sz w:val="20"/>
          <w:szCs w:val="20"/>
          <w:lang w:val="en-US" w:eastAsia="zh-CN"/>
        </w:rPr>
        <w:t xml:space="preserve">Knapik JJ, Sharp MA, Darakjy S, Jones BH, Hauret KG. Temporal changes in the physical fitness of US Army recruits. </w:t>
      </w:r>
      <w:r w:rsidRPr="00E32BE0">
        <w:rPr>
          <w:rFonts w:eastAsia="SimSun"/>
          <w:i/>
          <w:iCs/>
          <w:sz w:val="20"/>
          <w:szCs w:val="20"/>
          <w:lang w:val="en-US" w:eastAsia="zh-CN"/>
        </w:rPr>
        <w:t>Medicine &amp; Science in Sports &amp; Exercise</w:t>
      </w:r>
      <w:r w:rsidRPr="00E32BE0">
        <w:rPr>
          <w:rFonts w:eastAsia="SimSun"/>
          <w:sz w:val="20"/>
          <w:szCs w:val="20"/>
          <w:lang w:val="en-US" w:eastAsia="zh-CN"/>
        </w:rPr>
        <w:t>. 2006;38(10):1861</w:t>
      </w:r>
      <w:r w:rsidR="00DA6CC0">
        <w:rPr>
          <w:rFonts w:eastAsia="SimSun"/>
          <w:sz w:val="20"/>
          <w:szCs w:val="20"/>
          <w:lang w:eastAsia="zh-CN"/>
        </w:rPr>
        <w:t>-</w:t>
      </w:r>
      <w:r w:rsidRPr="00E32BE0">
        <w:rPr>
          <w:rFonts w:eastAsia="SimSun"/>
          <w:sz w:val="20"/>
          <w:szCs w:val="20"/>
          <w:lang w:val="en-US" w:eastAsia="zh-CN"/>
        </w:rPr>
        <w:t>67.</w:t>
      </w:r>
      <w:bookmarkEnd w:id="22"/>
      <w:r w:rsidRPr="00E32BE0">
        <w:rPr>
          <w:rFonts w:ascii="SimSun" w:eastAsia="SimSun" w:hAnsi="SimSun" w:cs="SimSun" w:hint="eastAsia"/>
          <w:sz w:val="20"/>
          <w:szCs w:val="20"/>
          <w:lang w:val="en-US" w:eastAsia="zh-CN"/>
        </w:rPr>
        <w:t xml:space="preserve"> </w:t>
      </w:r>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23" w:name="_Ref225092219"/>
      <w:r w:rsidRPr="00E32BE0">
        <w:rPr>
          <w:rFonts w:eastAsia="SimSun"/>
          <w:sz w:val="20"/>
          <w:szCs w:val="20"/>
          <w:lang w:val="en-US" w:eastAsia="zh-CN"/>
        </w:rPr>
        <w:t xml:space="preserve">Kalabskyi A, Oderov A, Romanchuk S, Loiko O, Sorokolit N. Modern innovative approaches of domestic and foreign experts to modernize the physical training of female servicewomen. </w:t>
      </w:r>
      <w:r w:rsidRPr="00E32BE0">
        <w:rPr>
          <w:rFonts w:eastAsia="SimSun"/>
          <w:i/>
          <w:iCs/>
          <w:sz w:val="20"/>
          <w:szCs w:val="20"/>
          <w:lang w:val="en-US" w:eastAsia="zh-CN"/>
        </w:rPr>
        <w:t>Environment. Technology. Resources</w:t>
      </w:r>
      <w:r w:rsidRPr="00E32BE0">
        <w:rPr>
          <w:rFonts w:eastAsia="SimSun"/>
          <w:sz w:val="20"/>
          <w:szCs w:val="20"/>
          <w:lang w:val="en-US" w:eastAsia="zh-CN"/>
        </w:rPr>
        <w:t>. 2025;5:149</w:t>
      </w:r>
      <w:r w:rsidR="00DA6CC0">
        <w:rPr>
          <w:rFonts w:eastAsia="SimSun"/>
          <w:sz w:val="20"/>
          <w:szCs w:val="20"/>
          <w:lang w:eastAsia="zh-CN"/>
        </w:rPr>
        <w:t>-</w:t>
      </w:r>
      <w:r w:rsidRPr="00E32BE0">
        <w:rPr>
          <w:rFonts w:eastAsia="SimSun"/>
          <w:sz w:val="20"/>
          <w:szCs w:val="20"/>
          <w:lang w:val="en-US" w:eastAsia="zh-CN"/>
        </w:rPr>
        <w:t xml:space="preserve">53. </w:t>
      </w:r>
      <w:hyperlink r:id="rId48" w:tgtFrame="C:\Users\Orest\AppData\Local\Temp\_new" w:history="1">
        <w:r w:rsidRPr="00E32BE0">
          <w:rPr>
            <w:rFonts w:eastAsia="SimSun"/>
            <w:color w:val="0000FF"/>
            <w:sz w:val="20"/>
            <w:szCs w:val="20"/>
            <w:u w:val="single"/>
            <w:lang w:val="en-US" w:eastAsia="zh-CN"/>
          </w:rPr>
          <w:t>https://doi.org/10.17770/etr2025vol5.8474</w:t>
        </w:r>
      </w:hyperlink>
      <w:r w:rsidRPr="00E32BE0">
        <w:rPr>
          <w:rFonts w:eastAsia="SimSun"/>
          <w:sz w:val="20"/>
          <w:szCs w:val="20"/>
          <w:lang w:val="en-US" w:eastAsia="zh-CN"/>
        </w:rPr>
        <w:t>.</w:t>
      </w:r>
      <w:bookmarkEnd w:id="23"/>
      <w:r w:rsidRPr="00E32BE0">
        <w:rPr>
          <w:rFonts w:eastAsia="SimSun"/>
          <w:sz w:val="20"/>
          <w:szCs w:val="20"/>
          <w:lang w:val="en-US" w:eastAsia="zh-CN"/>
        </w:rPr>
        <w:tab/>
      </w:r>
    </w:p>
    <w:p w:rsidR="00E32BE0" w:rsidRPr="00E32BE0" w:rsidRDefault="00E32BE0" w:rsidP="00E32BE0">
      <w:pPr>
        <w:numPr>
          <w:ilvl w:val="0"/>
          <w:numId w:val="6"/>
        </w:numPr>
        <w:spacing w:after="0" w:line="240" w:lineRule="auto"/>
        <w:ind w:left="0" w:firstLine="0"/>
        <w:jc w:val="both"/>
        <w:rPr>
          <w:rFonts w:eastAsia="SimSun"/>
          <w:sz w:val="20"/>
          <w:szCs w:val="20"/>
          <w:lang w:val="en-US" w:eastAsia="zh-CN"/>
        </w:rPr>
      </w:pPr>
      <w:bookmarkStart w:id="24" w:name="_Ref225092230"/>
      <w:r w:rsidRPr="00E32BE0">
        <w:rPr>
          <w:rFonts w:eastAsia="SimSun"/>
          <w:sz w:val="20"/>
          <w:szCs w:val="20"/>
          <w:lang w:val="ru-RU" w:eastAsia="zh-CN"/>
        </w:rPr>
        <w:t xml:space="preserve">Лойко ОМ, Матвейко ОМ, Мацевко ТМ, Букрєєв ВО. Психологічні, комунікаційні, соціальні та гуманітарні елементи супроводу діяльності особового складу підрозділів. </w:t>
      </w:r>
      <w:r w:rsidRPr="00E32BE0">
        <w:rPr>
          <w:rFonts w:eastAsia="SimSun"/>
          <w:i/>
          <w:iCs/>
          <w:sz w:val="20"/>
          <w:szCs w:val="20"/>
          <w:lang w:val="en-US" w:eastAsia="zh-CN"/>
        </w:rPr>
        <w:t>Scientific Collection InterConf</w:t>
      </w:r>
      <w:r w:rsidRPr="00E32BE0">
        <w:rPr>
          <w:rFonts w:eastAsia="SimSun"/>
          <w:sz w:val="20"/>
          <w:szCs w:val="20"/>
          <w:lang w:val="en-US" w:eastAsia="zh-CN"/>
        </w:rPr>
        <w:t>. 2025;275:152</w:t>
      </w:r>
      <w:r w:rsidR="00DA6CC0">
        <w:rPr>
          <w:rFonts w:eastAsia="SimSun"/>
          <w:sz w:val="20"/>
          <w:szCs w:val="20"/>
          <w:lang w:eastAsia="zh-CN"/>
        </w:rPr>
        <w:t>-</w:t>
      </w:r>
      <w:r w:rsidRPr="00E32BE0">
        <w:rPr>
          <w:rFonts w:eastAsia="SimSun"/>
          <w:sz w:val="20"/>
          <w:szCs w:val="20"/>
          <w:lang w:val="en-US" w:eastAsia="zh-CN"/>
        </w:rPr>
        <w:t>58.</w:t>
      </w:r>
      <w:bookmarkEnd w:id="24"/>
    </w:p>
    <w:p w:rsidR="00E32BE0" w:rsidRPr="00E32BE0" w:rsidRDefault="00E32BE0" w:rsidP="00E32BE0">
      <w:pPr>
        <w:spacing w:after="0" w:line="240" w:lineRule="auto"/>
        <w:jc w:val="center"/>
        <w:rPr>
          <w:rFonts w:eastAsia="SimSun"/>
          <w:b/>
          <w:bCs/>
          <w:sz w:val="20"/>
          <w:szCs w:val="20"/>
          <w:lang w:eastAsia="zh-CN"/>
        </w:rPr>
      </w:pPr>
      <w:r w:rsidRPr="00E32BE0">
        <w:rPr>
          <w:rFonts w:eastAsia="SimSun"/>
          <w:b/>
          <w:bCs/>
          <w:sz w:val="20"/>
          <w:szCs w:val="20"/>
          <w:lang w:eastAsia="zh-CN"/>
        </w:rPr>
        <w:t>References</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Ministry of Defence of Ukraine. On approval of the Instruction on physical training in the Armed Forces of Ukraine: Order No. 225 of 05.08.2021.</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Vypasniak I, Boichuk R, Ivanyshyn I, Lutskyi V, Temchenko V, Yagello M. Assessment of the physical education learning environment among students of Ukrainian universities during wartime: validation of the SAPPE questionnaire and gender-regional analysis. Health Pedagogy. 2025;4(2):108</w:t>
      </w:r>
      <w:r w:rsidR="00DA6CC0">
        <w:rPr>
          <w:sz w:val="20"/>
          <w:szCs w:val="20"/>
        </w:rPr>
        <w:t>-</w:t>
      </w:r>
      <w:r w:rsidRPr="00E32BE0">
        <w:rPr>
          <w:sz w:val="20"/>
          <w:szCs w:val="20"/>
          <w:lang w:val="en-US"/>
        </w:rPr>
        <w:t xml:space="preserve">23. doi: </w:t>
      </w:r>
      <w:hyperlink r:id="rId49" w:tgtFrame="C:UsersOrestAppDataLocalTemp_new" w:history="1">
        <w:r w:rsidRPr="00E32BE0">
          <w:rPr>
            <w:color w:val="0000FF"/>
            <w:sz w:val="20"/>
            <w:szCs w:val="20"/>
            <w:u w:val="single"/>
            <w:lang w:val="en-US"/>
          </w:rPr>
          <w:t>https://doi.org/10.15561/health.2025.0203</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Loiko OM, Hulei KS. Relationship between technical preparedness and performance in boxing bouts of cadets of military higher education institutions. Visnyk Prykarpatskoho Universytetu. Seriia: Fizychna Kultura. 2025;44:42</w:t>
      </w:r>
      <w:r w:rsidR="00DA6CC0">
        <w:rPr>
          <w:sz w:val="20"/>
          <w:szCs w:val="20"/>
        </w:rPr>
        <w:t>-</w:t>
      </w:r>
      <w:r w:rsidRPr="00E32BE0">
        <w:rPr>
          <w:sz w:val="20"/>
          <w:szCs w:val="20"/>
          <w:lang w:val="en-US"/>
        </w:rPr>
        <w:t xml:space="preserve">50. doi: </w:t>
      </w:r>
      <w:hyperlink r:id="rId50" w:tgtFrame="C:UsersOrestAppDataLocalTemp_new" w:history="1">
        <w:r w:rsidRPr="00E32BE0">
          <w:rPr>
            <w:color w:val="0000FF"/>
            <w:sz w:val="20"/>
            <w:szCs w:val="20"/>
            <w:u w:val="single"/>
            <w:lang w:val="en-US"/>
          </w:rPr>
          <w:t>https://doi.org/10.15330/fcult.44.42-50</w:t>
        </w:r>
      </w:hyperlink>
      <w:r w:rsidRPr="00E32BE0">
        <w:rPr>
          <w:rFonts w:ascii="Calibri" w:hAnsi="Calibri"/>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Romanchuk S, Loiko O, Afonin V, Dobrovolskyi V, Suspo V, Boiarchuk O, Vasianovych A, Fishchuk I, Liudovyk T. Influence of boxing means on the physical fitness of military college cadets. Visnyk Kamianets-Podilskyi National University. Physical Education, Sport and Human Health. 2021;19:43</w:t>
      </w:r>
      <w:r w:rsidR="00DA6CC0">
        <w:rPr>
          <w:sz w:val="20"/>
          <w:szCs w:val="20"/>
        </w:rPr>
        <w:t>-</w:t>
      </w:r>
      <w:r w:rsidRPr="00E32BE0">
        <w:rPr>
          <w:sz w:val="20"/>
          <w:szCs w:val="20"/>
          <w:lang w:val="en-US"/>
        </w:rPr>
        <w:t xml:space="preserve">8. doi: </w:t>
      </w:r>
      <w:hyperlink r:id="rId51" w:tgtFrame="C:UsersOrestAppDataLocalTemp_new" w:history="1">
        <w:r w:rsidRPr="00E32BE0">
          <w:rPr>
            <w:color w:val="0000FF"/>
            <w:sz w:val="20"/>
            <w:szCs w:val="20"/>
            <w:u w:val="single"/>
            <w:lang w:val="en-US"/>
          </w:rPr>
          <w:t>https://doi.org/10.32626/2309-8082.2020-19.43-48</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Romanchuk S, Fedak S, Afonin V, Loiko O, Fishchuk I. Physical training of cadets of higher military educational institutions based on selective orientation of professional education. Lviv: National Army Academy; 2022. 368 p.</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Romanchuk S, Matveiko O, Oderov A, Loiko O. Physical and sports rehabilitation of servicemen. Lviv: National Army Academy; 2025. 145 p.</w:t>
      </w:r>
    </w:p>
    <w:p w:rsidR="00E32BE0" w:rsidRPr="00E32BE0" w:rsidRDefault="00E32BE0" w:rsidP="00E32BE0">
      <w:pPr>
        <w:numPr>
          <w:ilvl w:val="0"/>
          <w:numId w:val="5"/>
        </w:numPr>
        <w:tabs>
          <w:tab w:val="left" w:pos="567"/>
        </w:tabs>
        <w:spacing w:after="0" w:line="240" w:lineRule="auto"/>
        <w:ind w:left="0" w:firstLine="0"/>
        <w:jc w:val="both"/>
        <w:rPr>
          <w:rFonts w:eastAsia="SimSun"/>
          <w:sz w:val="20"/>
          <w:szCs w:val="20"/>
          <w:lang w:val="en-US" w:eastAsia="zh-CN"/>
        </w:rPr>
      </w:pPr>
      <w:r w:rsidRPr="00E32BE0">
        <w:rPr>
          <w:rFonts w:eastAsia="SimSun"/>
          <w:sz w:val="20"/>
          <w:szCs w:val="20"/>
          <w:lang w:val="en-US" w:eastAsia="zh-CN"/>
        </w:rPr>
        <w:t>Romanchuk S, Mytskan B, Afonin V, Loiko O, Pylypchak I, Kuznetsov M, Lisovskyi B. Influence of martial arts on improving the special physical fitness of servicemen. Visnyk Prykarpatskoho Universytetu. Seriia: Fizychna Kultura. 2018;30:80</w:t>
      </w:r>
      <w:r w:rsidR="00DA6CC0">
        <w:rPr>
          <w:rFonts w:eastAsia="SimSun"/>
          <w:sz w:val="20"/>
          <w:szCs w:val="20"/>
          <w:lang w:eastAsia="zh-CN"/>
        </w:rPr>
        <w:t>-</w:t>
      </w:r>
      <w:r w:rsidRPr="00E32BE0">
        <w:rPr>
          <w:rFonts w:eastAsia="SimSun"/>
          <w:sz w:val="20"/>
          <w:szCs w:val="20"/>
          <w:lang w:val="en-US" w:eastAsia="zh-CN"/>
        </w:rPr>
        <w:t>7.</w:t>
      </w:r>
      <w:r w:rsidRPr="00E32BE0">
        <w:rPr>
          <w:rFonts w:eastAsia="SimSun"/>
          <w:sz w:val="20"/>
          <w:szCs w:val="20"/>
          <w:lang w:eastAsia="zh-CN"/>
        </w:rPr>
        <w:t xml:space="preserve"> </w:t>
      </w:r>
      <w:hyperlink r:id="rId52" w:history="1">
        <w:r w:rsidR="00DA6CC0" w:rsidRPr="00646581">
          <w:rPr>
            <w:rStyle w:val="af3"/>
            <w:rFonts w:eastAsia="SimSun"/>
            <w:sz w:val="20"/>
            <w:szCs w:val="20"/>
            <w:lang w:val="en-US" w:eastAsia="zh-CN"/>
          </w:rPr>
          <w:t>https://doi.org/10.15330/fcult.30.80-87</w:t>
        </w:r>
      </w:hyperlink>
      <w:r w:rsidR="00DA6CC0">
        <w:rPr>
          <w:rFonts w:eastAsia="SimSun"/>
          <w:sz w:val="20"/>
          <w:szCs w:val="20"/>
          <w:lang w:eastAsia="zh-CN"/>
        </w:rPr>
        <w:t xml:space="preserve"> .</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Anokhin Ye, Romanchuk S, Afonin V, Loiko O, Petruk A. Analysis of the organizational management structure of the physical training system of the Armed Forces of Ukraine. Physical Education, Sport and Health Culture in Modern Society. 2023;1:3</w:t>
      </w:r>
      <w:r w:rsidR="00DA6CC0">
        <w:rPr>
          <w:sz w:val="20"/>
          <w:szCs w:val="20"/>
        </w:rPr>
        <w:t>-</w:t>
      </w:r>
      <w:r w:rsidRPr="00E32BE0">
        <w:rPr>
          <w:sz w:val="20"/>
          <w:szCs w:val="20"/>
          <w:lang w:val="en-US"/>
        </w:rPr>
        <w:t xml:space="preserve">13. doi: </w:t>
      </w:r>
      <w:hyperlink r:id="rId53" w:tgtFrame="C:UsersOrestAppDataLocalTemp_new" w:history="1">
        <w:r w:rsidRPr="00E32BE0">
          <w:rPr>
            <w:color w:val="0000FF"/>
            <w:sz w:val="20"/>
            <w:szCs w:val="20"/>
            <w:u w:val="single"/>
            <w:lang w:val="en-US"/>
          </w:rPr>
          <w:t>https://doi.org/10.29038/2220-7481-2023-01-03-13</w:t>
        </w:r>
      </w:hyperlink>
      <w:r w:rsidRPr="00E32BE0">
        <w:rPr>
          <w:rFonts w:ascii="Calibri" w:hAnsi="Calibri"/>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Smith C, Doma K, Heilbronn B, Leicht A. Effects of exercise training programs on physical fitness domains in military personnel: a systematic review and meta-analysis. Military Medicine. 2022;187(9–10):1065</w:t>
      </w:r>
      <w:r w:rsidR="00DA6CC0">
        <w:rPr>
          <w:sz w:val="20"/>
          <w:szCs w:val="20"/>
        </w:rPr>
        <w:t>-</w:t>
      </w:r>
      <w:r w:rsidRPr="00E32BE0">
        <w:rPr>
          <w:sz w:val="20"/>
          <w:szCs w:val="20"/>
          <w:lang w:val="en-US"/>
        </w:rPr>
        <w:t xml:space="preserve">73. doi: </w:t>
      </w:r>
      <w:hyperlink r:id="rId54" w:tgtFrame="C:UsersOrestAppDataLocalTemp_new" w:history="1">
        <w:r w:rsidRPr="00E32BE0">
          <w:rPr>
            <w:color w:val="0000FF"/>
            <w:sz w:val="20"/>
            <w:szCs w:val="20"/>
            <w:u w:val="single"/>
            <w:lang w:val="en-US"/>
          </w:rPr>
          <w:t>https://doi.org/10.1093/milmed/usac040</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Newman K, Sachs van der Weijden M, Martin J. Investigation of modified lifestyle and fitness models in Reserve Officers’ Training Corps cadets. Military Medicine. 2026; 191(1–2):e70</w:t>
      </w:r>
      <w:r w:rsidR="00DA6CC0">
        <w:rPr>
          <w:sz w:val="20"/>
          <w:szCs w:val="20"/>
        </w:rPr>
        <w:t>-</w:t>
      </w:r>
      <w:r w:rsidRPr="00E32BE0">
        <w:rPr>
          <w:sz w:val="20"/>
          <w:szCs w:val="20"/>
          <w:lang w:val="en-US"/>
        </w:rPr>
        <w:t xml:space="preserve">e76. doi: </w:t>
      </w:r>
      <w:hyperlink r:id="rId55" w:history="1">
        <w:r w:rsidRPr="00E32BE0">
          <w:rPr>
            <w:color w:val="0000FF"/>
            <w:sz w:val="20"/>
            <w:szCs w:val="20"/>
            <w:u w:val="single"/>
            <w:lang w:val="en-US"/>
          </w:rPr>
          <w:t>https://doi.org/10.1093/milmed/usaf307</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Kraemer WJ, Ratamess NA. Fundamentals of resistance training: progression and exercise prescription. Medicine &amp; Science in Sports &amp; Exercise. 2004;36(4):674</w:t>
      </w:r>
      <w:r w:rsidR="00DA6CC0">
        <w:rPr>
          <w:sz w:val="20"/>
          <w:szCs w:val="20"/>
        </w:rPr>
        <w:t>-</w:t>
      </w:r>
      <w:r w:rsidRPr="00E32BE0">
        <w:rPr>
          <w:sz w:val="20"/>
          <w:szCs w:val="20"/>
          <w:lang w:val="en-US"/>
        </w:rPr>
        <w:t>88.</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Twaryanas AP, Greenwell B, Wiesen GJ, Maupin JM. Commander wellness program: associations between health metrics and physical fitness assessment scores. Military Medicine. 2018;183(9–10):e612</w:t>
      </w:r>
      <w:r w:rsidR="00DA6CC0">
        <w:rPr>
          <w:sz w:val="20"/>
          <w:szCs w:val="20"/>
        </w:rPr>
        <w:t>-</w:t>
      </w:r>
      <w:r w:rsidRPr="00E32BE0">
        <w:rPr>
          <w:sz w:val="20"/>
          <w:szCs w:val="20"/>
          <w:lang w:val="en-US"/>
        </w:rPr>
        <w:t xml:space="preserve">e618. doi: </w:t>
      </w:r>
      <w:hyperlink r:id="rId56" w:tgtFrame="C:UsersOrestAppDataLocalTemp_new" w:history="1">
        <w:r w:rsidRPr="00E32BE0">
          <w:rPr>
            <w:color w:val="0000FF"/>
            <w:sz w:val="20"/>
            <w:szCs w:val="20"/>
            <w:u w:val="single"/>
            <w:lang w:val="en-US"/>
          </w:rPr>
          <w:t>https://doi.org/10.1093/milmed/usx221</w:t>
        </w:r>
      </w:hyperlink>
      <w:r w:rsidRPr="00E32BE0">
        <w:rPr>
          <w:rFonts w:ascii="Calibri" w:hAnsi="Calibri"/>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Roberts BM, Rushing KA, Pleasants EP. Sex differences in body composition and physical fitness among ROTC cadets. Military Medicine. 2023;188(1–2):e1</w:t>
      </w:r>
      <w:r w:rsidR="00DA6CC0">
        <w:rPr>
          <w:sz w:val="20"/>
          <w:szCs w:val="20"/>
        </w:rPr>
        <w:t>-</w:t>
      </w:r>
      <w:r w:rsidRPr="00E32BE0">
        <w:rPr>
          <w:sz w:val="20"/>
          <w:szCs w:val="20"/>
          <w:lang w:val="en-US"/>
        </w:rPr>
        <w:t xml:space="preserve">e5. doi: </w:t>
      </w:r>
      <w:hyperlink r:id="rId57" w:tgtFrame="C:UsersOrestAppDataLocalTemp_new" w:history="1">
        <w:r w:rsidRPr="00E32BE0">
          <w:rPr>
            <w:color w:val="0000FF"/>
            <w:sz w:val="20"/>
            <w:szCs w:val="20"/>
            <w:u w:val="single"/>
            <w:lang w:val="en-US"/>
          </w:rPr>
          <w:t>https://doi.org/10.1093/milmed/usaa496</w:t>
        </w:r>
      </w:hyperlink>
      <w:r w:rsidRPr="00E32BE0">
        <w:rPr>
          <w:sz w:val="20"/>
          <w:szCs w:val="20"/>
          <w:lang w:val="en-US"/>
        </w:rPr>
        <w:t xml:space="preserve">. </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Nikolaidis PT, Papaiannou KG, Rosemann T, Knechtle B. Muscular strength testing in the military. Military Medicine. 2019;184(9–10):e426</w:t>
      </w:r>
      <w:r w:rsidR="00DA6CC0">
        <w:rPr>
          <w:sz w:val="20"/>
          <w:szCs w:val="20"/>
        </w:rPr>
        <w:t>-</w:t>
      </w:r>
      <w:r w:rsidRPr="00E32BE0">
        <w:rPr>
          <w:sz w:val="20"/>
          <w:szCs w:val="20"/>
          <w:lang w:val="en-US"/>
        </w:rPr>
        <w:t xml:space="preserve">e430. doi: </w:t>
      </w:r>
      <w:hyperlink r:id="rId58" w:tgtFrame="C:UsersOrestAppDataLocalTemp_new" w:history="1">
        <w:r w:rsidRPr="00E32BE0">
          <w:rPr>
            <w:color w:val="0000FF"/>
            <w:sz w:val="20"/>
            <w:szCs w:val="20"/>
            <w:u w:val="single"/>
            <w:lang w:val="en-US"/>
          </w:rPr>
          <w:t>https://doi.org/10.1093/milmed/usz152</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lastRenderedPageBreak/>
        <w:t>McEvoy R, Batrakoulis A, Kamhi S, Sansone J, Stanfield J, Reed R. ACSM’s Worldwide Fitness Trends for 2026: Future directions of the health and fitness industry. ACSM’s Health &amp; Fitness Journal. 2025;29(6):16</w:t>
      </w:r>
      <w:r w:rsidR="00DA6CC0">
        <w:rPr>
          <w:sz w:val="20"/>
          <w:szCs w:val="20"/>
        </w:rPr>
        <w:t>-</w:t>
      </w:r>
      <w:r w:rsidRPr="00E32BE0">
        <w:rPr>
          <w:sz w:val="20"/>
          <w:szCs w:val="20"/>
          <w:lang w:val="en-US"/>
        </w:rPr>
        <w:t xml:space="preserve">33. doi: </w:t>
      </w:r>
      <w:hyperlink r:id="rId59" w:history="1">
        <w:r w:rsidRPr="00E32BE0">
          <w:rPr>
            <w:color w:val="0000FF"/>
            <w:sz w:val="20"/>
            <w:szCs w:val="20"/>
            <w:u w:val="single"/>
            <w:lang w:val="en-US"/>
          </w:rPr>
          <w:t>https://doi.org/10.1249/FIT.0000000000001110</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Trent LK, Hurtado SL. Longitudinal trends and gender differences in physical fitness and lifestyle among U.S. Navy personnel (1983–1994). Military Medicine. 1998;163(6):398</w:t>
      </w:r>
      <w:r w:rsidR="00DA6CC0">
        <w:rPr>
          <w:sz w:val="20"/>
          <w:szCs w:val="20"/>
        </w:rPr>
        <w:t>-</w:t>
      </w:r>
      <w:r w:rsidRPr="00E32BE0">
        <w:rPr>
          <w:sz w:val="20"/>
          <w:szCs w:val="20"/>
          <w:lang w:val="en-US"/>
        </w:rPr>
        <w:t xml:space="preserve">407. doi: </w:t>
      </w:r>
      <w:hyperlink r:id="rId60" w:tgtFrame="C:UsersOrestAppDataLocalTemp_new" w:history="1">
        <w:r w:rsidRPr="00E32BE0">
          <w:rPr>
            <w:color w:val="0000FF"/>
            <w:sz w:val="20"/>
            <w:szCs w:val="20"/>
            <w:u w:val="single"/>
            <w:lang w:val="en-US"/>
          </w:rPr>
          <w:t>https://doi.org/10.1093/milmed/163.6.398</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Knapik JJ, Sharp MA, Darakjy S, Jones BH, Hauret KG. Temporal changes in the physical fitness of US Army recruits. Medicine &amp; Science in Sports &amp; Exercise. 2006;38(10):1861</w:t>
      </w:r>
      <w:r w:rsidR="00DA6CC0">
        <w:rPr>
          <w:sz w:val="20"/>
          <w:szCs w:val="20"/>
        </w:rPr>
        <w:t>-</w:t>
      </w:r>
      <w:r w:rsidRPr="00E32BE0">
        <w:rPr>
          <w:sz w:val="20"/>
          <w:szCs w:val="20"/>
          <w:lang w:val="en-US"/>
        </w:rPr>
        <w:t>67.</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Kalabskyi A, Oderov A, Romanchuk S, Loiko O, Sorokolit N. Modern innovative approaches of domestic and foreign experts to modernize the physical training of female servicewomen. Environment. Technology. Resources. 2025;5:149</w:t>
      </w:r>
      <w:r w:rsidR="00DA6CC0">
        <w:rPr>
          <w:sz w:val="20"/>
          <w:szCs w:val="20"/>
        </w:rPr>
        <w:t>-</w:t>
      </w:r>
      <w:r w:rsidRPr="00E32BE0">
        <w:rPr>
          <w:sz w:val="20"/>
          <w:szCs w:val="20"/>
          <w:lang w:val="en-US"/>
        </w:rPr>
        <w:t xml:space="preserve">53. doi: </w:t>
      </w:r>
      <w:hyperlink r:id="rId61" w:tgtFrame="C:UsersOrestAppDataLocalTemp_new" w:history="1">
        <w:r w:rsidRPr="00E32BE0">
          <w:rPr>
            <w:color w:val="0000FF"/>
            <w:sz w:val="20"/>
            <w:szCs w:val="20"/>
            <w:u w:val="single"/>
            <w:lang w:val="en-US"/>
          </w:rPr>
          <w:t>https://doi.org/10.17770/etr2025vol5.8474</w:t>
        </w:r>
      </w:hyperlink>
      <w:r w:rsidRPr="00E32BE0">
        <w:rPr>
          <w:sz w:val="20"/>
          <w:szCs w:val="20"/>
          <w:lang w:val="en-US"/>
        </w:rPr>
        <w:t>.</w:t>
      </w:r>
    </w:p>
    <w:p w:rsidR="00E32BE0" w:rsidRPr="00E32BE0" w:rsidRDefault="00E32BE0" w:rsidP="00E32BE0">
      <w:pPr>
        <w:numPr>
          <w:ilvl w:val="0"/>
          <w:numId w:val="5"/>
        </w:numPr>
        <w:tabs>
          <w:tab w:val="left" w:pos="567"/>
        </w:tabs>
        <w:spacing w:after="0" w:line="240" w:lineRule="auto"/>
        <w:ind w:left="0" w:firstLine="0"/>
        <w:contextualSpacing/>
        <w:jc w:val="both"/>
        <w:rPr>
          <w:sz w:val="20"/>
          <w:szCs w:val="20"/>
          <w:lang w:val="en-US"/>
        </w:rPr>
      </w:pPr>
      <w:r w:rsidRPr="00E32BE0">
        <w:rPr>
          <w:sz w:val="20"/>
          <w:szCs w:val="20"/>
          <w:lang w:val="en-US"/>
        </w:rPr>
        <w:t>Loiko OM, Matveiko OM, Matsevko TM, Bukrieiev VO. Psychological, communication, social and humanitarian elements of support for the activities of military personnel. Scientific Collection InterConf. 2025;275:152</w:t>
      </w:r>
      <w:r w:rsidR="00DA6CC0">
        <w:rPr>
          <w:sz w:val="20"/>
          <w:szCs w:val="20"/>
        </w:rPr>
        <w:t>-</w:t>
      </w:r>
      <w:r w:rsidRPr="00E32BE0">
        <w:rPr>
          <w:sz w:val="20"/>
          <w:szCs w:val="20"/>
          <w:lang w:val="en-US"/>
        </w:rPr>
        <w:t>8.</w:t>
      </w:r>
    </w:p>
    <w:p w:rsidR="00E32BE0" w:rsidRPr="00E32BE0" w:rsidRDefault="00E32BE0" w:rsidP="00E32BE0">
      <w:pPr>
        <w:autoSpaceDE w:val="0"/>
        <w:autoSpaceDN w:val="0"/>
        <w:adjustRightInd w:val="0"/>
        <w:spacing w:after="0" w:line="240" w:lineRule="auto"/>
        <w:ind w:left="720"/>
        <w:jc w:val="both"/>
        <w:rPr>
          <w:rFonts w:eastAsia="Calibri"/>
          <w:sz w:val="20"/>
          <w:szCs w:val="20"/>
        </w:rPr>
      </w:pPr>
    </w:p>
    <w:tbl>
      <w:tblPr>
        <w:tblStyle w:val="13"/>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E32BE0" w:rsidRPr="00E32BE0" w:rsidTr="00E32BE0">
        <w:tc>
          <w:tcPr>
            <w:tcW w:w="9286" w:type="dxa"/>
            <w:shd w:val="clear" w:color="auto" w:fill="BFBFBF"/>
          </w:tcPr>
          <w:p w:rsidR="00E32BE0" w:rsidRPr="00E32BE0" w:rsidRDefault="00E32BE0" w:rsidP="00E32BE0">
            <w:pPr>
              <w:spacing w:after="0"/>
              <w:jc w:val="both"/>
              <w:rPr>
                <w:rFonts w:eastAsia="SimSun"/>
                <w:b/>
                <w:sz w:val="20"/>
                <w:szCs w:val="20"/>
                <w:lang w:val="en-US" w:eastAsia="zh-CN"/>
              </w:rPr>
            </w:pPr>
            <w:r w:rsidRPr="00E32BE0">
              <w:rPr>
                <w:rFonts w:eastAsia="SimSun"/>
                <w:b/>
                <w:sz w:val="20"/>
                <w:szCs w:val="24"/>
                <w:lang w:val="en-US" w:eastAsia="zh-CN"/>
              </w:rPr>
              <w:t>Цитування на</w:t>
            </w:r>
            <w:r w:rsidRPr="00E32BE0">
              <w:rPr>
                <w:rFonts w:eastAsia="SimSun"/>
                <w:b/>
                <w:spacing w:val="2"/>
                <w:sz w:val="20"/>
                <w:szCs w:val="24"/>
                <w:lang w:val="en-US" w:eastAsia="zh-CN"/>
              </w:rPr>
              <w:t xml:space="preserve"> </w:t>
            </w:r>
            <w:r w:rsidRPr="00E32BE0">
              <w:rPr>
                <w:rFonts w:eastAsia="SimSun"/>
                <w:b/>
                <w:sz w:val="20"/>
                <w:szCs w:val="24"/>
                <w:lang w:val="en-US" w:eastAsia="zh-CN"/>
              </w:rPr>
              <w:t>цю статтю:</w:t>
            </w:r>
          </w:p>
        </w:tc>
      </w:tr>
      <w:tr w:rsidR="00E32BE0" w:rsidRPr="00E32BE0" w:rsidTr="00C07F42">
        <w:tc>
          <w:tcPr>
            <w:tcW w:w="9286" w:type="dxa"/>
          </w:tcPr>
          <w:p w:rsidR="00E32BE0" w:rsidRPr="00E32BE0" w:rsidRDefault="00E32BE0" w:rsidP="00E32BE0">
            <w:pPr>
              <w:spacing w:after="0" w:line="240" w:lineRule="auto"/>
              <w:jc w:val="both"/>
              <w:rPr>
                <w:rFonts w:eastAsia="SimSun"/>
                <w:i/>
                <w:sz w:val="20"/>
                <w:szCs w:val="20"/>
                <w:lang w:val="ru-RU" w:eastAsia="zh-CN"/>
              </w:rPr>
            </w:pPr>
            <w:r w:rsidRPr="00E32BE0">
              <w:rPr>
                <w:rFonts w:eastAsia="SimSun" w:cs="Mangal"/>
                <w:kern w:val="1"/>
                <w:sz w:val="20"/>
                <w:szCs w:val="20"/>
                <w:shd w:val="clear" w:color="auto" w:fill="FFFFFF"/>
                <w:lang w:val="ru-RU" w:eastAsia="zh-CN" w:bidi="hi-IN"/>
              </w:rPr>
              <w:t>Лойко ОМ</w:t>
            </w:r>
            <w:r w:rsidRPr="00E32BE0">
              <w:rPr>
                <w:rFonts w:eastAsia="SimSun" w:cs="Mangal"/>
                <w:kern w:val="1"/>
                <w:sz w:val="20"/>
                <w:szCs w:val="20"/>
                <w:lang w:val="ru-RU" w:eastAsia="zh-CN" w:bidi="hi-IN"/>
              </w:rPr>
              <w:t>,</w:t>
            </w:r>
            <w:r w:rsidRPr="00E32BE0">
              <w:rPr>
                <w:rFonts w:eastAsia="SimSun" w:cs="Mangal"/>
                <w:kern w:val="1"/>
                <w:sz w:val="20"/>
                <w:szCs w:val="20"/>
                <w:lang w:eastAsia="zh-CN" w:bidi="hi-IN"/>
              </w:rPr>
              <w:t xml:space="preserve"> Матвейко ОМ, Букрєєв ВО</w:t>
            </w:r>
            <w:r w:rsidRPr="00E32BE0">
              <w:rPr>
                <w:rFonts w:eastAsia="SimSun" w:cs="Mangal"/>
                <w:kern w:val="1"/>
                <w:sz w:val="20"/>
                <w:szCs w:val="20"/>
                <w:lang w:val="ru-RU" w:eastAsia="zh-CN" w:bidi="hi-IN"/>
              </w:rPr>
              <w:t xml:space="preserve">. </w:t>
            </w:r>
            <w:r w:rsidRPr="00E32BE0">
              <w:rPr>
                <w:rFonts w:eastAsia="SimSun"/>
                <w:bCs/>
                <w:sz w:val="20"/>
                <w:szCs w:val="20"/>
                <w:lang w:val="ru-RU" w:eastAsia="zh-CN"/>
              </w:rPr>
              <w:t xml:space="preserve">Вплив програми самостійних тренувань та рейтингової мотивації на результати виконання вправи № 20 у курсантів вищого військового навчального закладу. </w:t>
            </w:r>
            <w:r w:rsidRPr="00E32BE0">
              <w:rPr>
                <w:rFonts w:eastAsia="SimSun"/>
                <w:sz w:val="20"/>
                <w:szCs w:val="20"/>
                <w:lang w:eastAsia="zh-CN"/>
              </w:rPr>
              <w:t>Вісник Прикарпатського університету</w:t>
            </w:r>
            <w:r w:rsidRPr="00E32BE0">
              <w:rPr>
                <w:rFonts w:eastAsia="SimSun" w:cs="Mangal"/>
                <w:kern w:val="1"/>
                <w:sz w:val="20"/>
                <w:szCs w:val="20"/>
                <w:lang w:val="ru-RU" w:eastAsia="zh-CN" w:bidi="hi-IN"/>
              </w:rPr>
              <w:t xml:space="preserve">. </w:t>
            </w:r>
            <w:r w:rsidRPr="00E32BE0">
              <w:rPr>
                <w:rFonts w:eastAsia="SimSun"/>
                <w:kern w:val="1"/>
                <w:sz w:val="20"/>
                <w:szCs w:val="20"/>
                <w:lang w:val="ru-RU" w:eastAsia="zh-CN" w:bidi="hi-IN"/>
              </w:rPr>
              <w:t>Серія:</w:t>
            </w:r>
            <w:r w:rsidRPr="00E32BE0">
              <w:rPr>
                <w:rFonts w:eastAsia="SimSun" w:cs="Mangal"/>
                <w:kern w:val="1"/>
                <w:sz w:val="20"/>
                <w:szCs w:val="20"/>
                <w:lang w:val="ru-RU" w:eastAsia="zh-CN" w:bidi="hi-IN"/>
              </w:rPr>
              <w:t xml:space="preserve"> </w:t>
            </w:r>
            <w:r w:rsidRPr="00E32BE0">
              <w:rPr>
                <w:rFonts w:eastAsia="SimSun"/>
                <w:kern w:val="1"/>
                <w:sz w:val="20"/>
                <w:szCs w:val="20"/>
                <w:lang w:val="ru-RU" w:eastAsia="zh-CN" w:bidi="hi-IN"/>
              </w:rPr>
              <w:t>Фізична</w:t>
            </w:r>
            <w:r w:rsidRPr="00E32BE0">
              <w:rPr>
                <w:rFonts w:eastAsia="SimSun" w:cs="Mangal"/>
                <w:kern w:val="1"/>
                <w:sz w:val="20"/>
                <w:szCs w:val="20"/>
                <w:lang w:val="ru-RU" w:eastAsia="zh-CN" w:bidi="hi-IN"/>
              </w:rPr>
              <w:t xml:space="preserve"> </w:t>
            </w:r>
            <w:r w:rsidRPr="00E32BE0">
              <w:rPr>
                <w:rFonts w:eastAsia="SimSun"/>
                <w:spacing w:val="-1"/>
                <w:kern w:val="1"/>
                <w:sz w:val="20"/>
                <w:szCs w:val="20"/>
                <w:lang w:val="ru-RU" w:eastAsia="zh-CN" w:bidi="hi-IN"/>
              </w:rPr>
              <w:t>культура.</w:t>
            </w:r>
            <w:r w:rsidRPr="00E32BE0">
              <w:rPr>
                <w:rFonts w:eastAsia="SimSun" w:cs="Mangal"/>
                <w:spacing w:val="5"/>
                <w:kern w:val="1"/>
                <w:sz w:val="20"/>
                <w:szCs w:val="20"/>
                <w:lang w:val="ru-RU" w:eastAsia="zh-CN" w:bidi="hi-IN"/>
              </w:rPr>
              <w:t xml:space="preserve"> </w:t>
            </w:r>
            <w:r w:rsidRPr="00E32BE0">
              <w:rPr>
                <w:rFonts w:eastAsia="SimSun" w:cs="Mangal"/>
                <w:spacing w:val="1"/>
                <w:kern w:val="1"/>
                <w:sz w:val="20"/>
                <w:szCs w:val="20"/>
                <w:lang w:val="ru-RU" w:eastAsia="zh-CN" w:bidi="hi-IN"/>
              </w:rPr>
              <w:t>202</w:t>
            </w:r>
            <w:r w:rsidRPr="00E32BE0">
              <w:rPr>
                <w:rFonts w:eastAsia="SimSun" w:cs="Mangal"/>
                <w:spacing w:val="1"/>
                <w:kern w:val="1"/>
                <w:sz w:val="20"/>
                <w:szCs w:val="20"/>
                <w:lang w:eastAsia="zh-CN" w:bidi="hi-IN"/>
              </w:rPr>
              <w:t>6</w:t>
            </w:r>
            <w:r w:rsidRPr="00E32BE0">
              <w:rPr>
                <w:rFonts w:eastAsia="SimSun" w:cs="Mangal"/>
                <w:kern w:val="1"/>
                <w:sz w:val="20"/>
                <w:szCs w:val="20"/>
                <w:lang w:val="ru-RU" w:eastAsia="zh-CN" w:bidi="hi-IN"/>
              </w:rPr>
              <w:t xml:space="preserve"> </w:t>
            </w:r>
            <w:r w:rsidRPr="00E32BE0">
              <w:rPr>
                <w:rFonts w:eastAsia="SimSun"/>
                <w:spacing w:val="-1"/>
                <w:kern w:val="1"/>
                <w:sz w:val="20"/>
                <w:szCs w:val="20"/>
                <w:lang w:eastAsia="zh-CN" w:bidi="hi-IN"/>
              </w:rPr>
              <w:t>Трав</w:t>
            </w:r>
            <w:r w:rsidRPr="00E32BE0">
              <w:rPr>
                <w:rFonts w:eastAsia="SimSun"/>
                <w:spacing w:val="-1"/>
                <w:kern w:val="1"/>
                <w:sz w:val="20"/>
                <w:szCs w:val="20"/>
                <w:lang w:val="ru-RU" w:eastAsia="zh-CN" w:bidi="hi-IN"/>
              </w:rPr>
              <w:t>ень 0</w:t>
            </w:r>
            <w:r w:rsidRPr="00E32BE0">
              <w:rPr>
                <w:rFonts w:eastAsia="SimSun"/>
                <w:spacing w:val="-1"/>
                <w:kern w:val="1"/>
                <w:sz w:val="20"/>
                <w:szCs w:val="20"/>
                <w:lang w:eastAsia="zh-CN" w:bidi="hi-IN"/>
              </w:rPr>
              <w:t>5</w:t>
            </w:r>
            <w:r w:rsidRPr="00E32BE0">
              <w:rPr>
                <w:rFonts w:eastAsia="SimSun" w:cs="Mangal"/>
                <w:spacing w:val="1"/>
                <w:kern w:val="1"/>
                <w:sz w:val="20"/>
                <w:szCs w:val="20"/>
                <w:lang w:val="ru-RU" w:eastAsia="zh-CN" w:bidi="hi-IN"/>
              </w:rPr>
              <w:t>;</w:t>
            </w:r>
            <w:r w:rsidRPr="00E32BE0">
              <w:rPr>
                <w:rFonts w:eastAsia="SimSun" w:cs="Mangal"/>
                <w:spacing w:val="-1"/>
                <w:kern w:val="1"/>
                <w:sz w:val="20"/>
                <w:szCs w:val="20"/>
                <w:lang w:val="ru-RU" w:eastAsia="zh-CN" w:bidi="hi-IN"/>
              </w:rPr>
              <w:t xml:space="preserve"> </w:t>
            </w:r>
            <w:r w:rsidRPr="00E32BE0">
              <w:rPr>
                <w:rFonts w:eastAsia="SimSun" w:cs="Mangal"/>
                <w:spacing w:val="1"/>
                <w:kern w:val="1"/>
                <w:sz w:val="20"/>
                <w:szCs w:val="20"/>
                <w:lang w:val="ru-RU" w:eastAsia="zh-CN" w:bidi="hi-IN"/>
              </w:rPr>
              <w:t>4</w:t>
            </w:r>
            <w:r w:rsidRPr="00E32BE0">
              <w:rPr>
                <w:rFonts w:eastAsia="SimSun" w:cs="Mangal"/>
                <w:spacing w:val="1"/>
                <w:kern w:val="1"/>
                <w:sz w:val="20"/>
                <w:szCs w:val="20"/>
                <w:lang w:eastAsia="zh-CN" w:bidi="hi-IN"/>
              </w:rPr>
              <w:t>6</w:t>
            </w:r>
            <w:r w:rsidRPr="00E32BE0">
              <w:rPr>
                <w:rFonts w:eastAsia="SimSun" w:cs="Mangal"/>
                <w:spacing w:val="1"/>
                <w:kern w:val="1"/>
                <w:sz w:val="20"/>
                <w:szCs w:val="20"/>
                <w:lang w:val="ru-RU" w:eastAsia="zh-CN" w:bidi="hi-IN"/>
              </w:rPr>
              <w:t xml:space="preserve">: </w:t>
            </w:r>
            <w:r w:rsidRPr="00E32BE0">
              <w:rPr>
                <w:rFonts w:eastAsia="SimSun" w:cs="Mangal"/>
                <w:kern w:val="1"/>
                <w:sz w:val="20"/>
                <w:szCs w:val="20"/>
                <w:lang w:eastAsia="zh-CN" w:bidi="hi-IN"/>
              </w:rPr>
              <w:t>1</w:t>
            </w:r>
            <w:r w:rsidRPr="00E32BE0">
              <w:rPr>
                <w:rFonts w:eastAsia="SimSun" w:cs="Mangal"/>
                <w:kern w:val="1"/>
                <w:sz w:val="20"/>
                <w:szCs w:val="20"/>
                <w:lang w:val="ru-RU" w:eastAsia="zh-CN" w:bidi="hi-IN"/>
              </w:rPr>
              <w:t>2-</w:t>
            </w:r>
            <w:r w:rsidRPr="00E32BE0">
              <w:rPr>
                <w:rFonts w:eastAsia="SimSun" w:cs="Mangal"/>
                <w:kern w:val="1"/>
                <w:sz w:val="20"/>
                <w:szCs w:val="20"/>
                <w:lang w:eastAsia="zh-CN" w:bidi="hi-IN"/>
              </w:rPr>
              <w:t>23</w:t>
            </w:r>
            <w:r w:rsidRPr="00E32BE0">
              <w:rPr>
                <w:rFonts w:eastAsia="SimSun"/>
                <w:sz w:val="20"/>
                <w:szCs w:val="20"/>
                <w:lang w:val="ru-RU" w:eastAsia="zh-CN"/>
              </w:rPr>
              <w:t>.</w:t>
            </w:r>
          </w:p>
        </w:tc>
      </w:tr>
    </w:tbl>
    <w:p w:rsidR="00E32BE0" w:rsidRPr="00E32BE0" w:rsidRDefault="00E32BE0" w:rsidP="00E32BE0">
      <w:pPr>
        <w:autoSpaceDE w:val="0"/>
        <w:autoSpaceDN w:val="0"/>
        <w:adjustRightInd w:val="0"/>
        <w:spacing w:after="0" w:line="240" w:lineRule="auto"/>
        <w:ind w:left="720"/>
        <w:jc w:val="both"/>
        <w:rPr>
          <w:rFonts w:eastAsia="Calibri"/>
          <w:sz w:val="20"/>
          <w:szCs w:val="20"/>
        </w:rPr>
      </w:pPr>
    </w:p>
    <w:p w:rsidR="00E32BE0" w:rsidRPr="00E32BE0" w:rsidRDefault="00E32BE0" w:rsidP="00E32BE0">
      <w:pPr>
        <w:autoSpaceDE w:val="0"/>
        <w:autoSpaceDN w:val="0"/>
        <w:adjustRightInd w:val="0"/>
        <w:spacing w:after="0" w:line="240" w:lineRule="auto"/>
        <w:ind w:left="720"/>
        <w:jc w:val="both"/>
        <w:rPr>
          <w:rFonts w:eastAsia="Calibri"/>
          <w:sz w:val="20"/>
          <w:szCs w:val="20"/>
        </w:rPr>
      </w:pPr>
    </w:p>
    <w:tbl>
      <w:tblPr>
        <w:tblStyle w:val="13"/>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070"/>
      </w:tblGrid>
      <w:tr w:rsidR="00E32BE0" w:rsidRPr="00E32BE0" w:rsidTr="00E32BE0">
        <w:tc>
          <w:tcPr>
            <w:tcW w:w="9070" w:type="dxa"/>
            <w:shd w:val="clear" w:color="auto" w:fill="BFBFBF"/>
          </w:tcPr>
          <w:p w:rsidR="00E32BE0" w:rsidRPr="00E32BE0" w:rsidRDefault="00E32BE0" w:rsidP="00E32BE0">
            <w:pPr>
              <w:spacing w:after="0"/>
              <w:jc w:val="both"/>
              <w:rPr>
                <w:rFonts w:eastAsia="SimSun"/>
                <w:b/>
                <w:sz w:val="20"/>
                <w:szCs w:val="20"/>
                <w:lang w:val="en-US" w:eastAsia="zh-CN"/>
              </w:rPr>
            </w:pPr>
            <w:r w:rsidRPr="00E32BE0">
              <w:rPr>
                <w:rFonts w:eastAsia="SimSun"/>
                <w:b/>
                <w:sz w:val="20"/>
                <w:szCs w:val="20"/>
                <w:lang w:val="en-US" w:eastAsia="zh-CN"/>
              </w:rPr>
              <w:t>Відомості про авторів</w:t>
            </w:r>
          </w:p>
        </w:tc>
      </w:tr>
      <w:tr w:rsidR="00E32BE0" w:rsidRPr="00E32BE0" w:rsidTr="00C07F42">
        <w:tc>
          <w:tcPr>
            <w:tcW w:w="9070" w:type="dxa"/>
          </w:tcPr>
          <w:p w:rsidR="00E32BE0" w:rsidRPr="00E32BE0" w:rsidRDefault="00E32BE0" w:rsidP="00E32BE0">
            <w:pPr>
              <w:spacing w:after="0" w:line="240" w:lineRule="auto"/>
              <w:jc w:val="both"/>
              <w:rPr>
                <w:sz w:val="20"/>
                <w:szCs w:val="20"/>
                <w:lang w:val="ru-RU"/>
              </w:rPr>
            </w:pPr>
            <w:r w:rsidRPr="00E32BE0">
              <w:rPr>
                <w:b/>
                <w:i/>
                <w:sz w:val="20"/>
                <w:szCs w:val="20"/>
              </w:rPr>
              <w:t>Лойко Орест Миронович</w:t>
            </w:r>
            <w:r w:rsidRPr="00E32BE0">
              <w:rPr>
                <w:sz w:val="20"/>
                <w:szCs w:val="20"/>
              </w:rPr>
              <w:t xml:space="preserve"> - кандидат історичних наук, професор, </w:t>
            </w:r>
            <w:r w:rsidRPr="00E32BE0">
              <w:rPr>
                <w:sz w:val="20"/>
                <w:szCs w:val="20"/>
                <w:lang w:val="ru-RU"/>
              </w:rPr>
              <w:t xml:space="preserve">Національна академія сухопутних військ імені гетьмана Петра Сагайдачного </w:t>
            </w:r>
          </w:p>
          <w:p w:rsidR="00E32BE0" w:rsidRPr="00E32BE0" w:rsidRDefault="003D6B4F" w:rsidP="00E32BE0">
            <w:pPr>
              <w:spacing w:after="0" w:line="240" w:lineRule="auto"/>
              <w:jc w:val="both"/>
              <w:rPr>
                <w:sz w:val="20"/>
                <w:szCs w:val="20"/>
              </w:rPr>
            </w:pPr>
            <w:hyperlink r:id="rId62" w:history="1">
              <w:r w:rsidR="00E32BE0" w:rsidRPr="00E32BE0">
                <w:rPr>
                  <w:sz w:val="20"/>
                  <w:szCs w:val="20"/>
                  <w:lang w:val="en-US"/>
                </w:rPr>
                <w:t>https://orcid.org/0000-0001-7182-5104</w:t>
              </w:r>
            </w:hyperlink>
            <w:r w:rsidR="00E32BE0" w:rsidRPr="00E32BE0">
              <w:rPr>
                <w:sz w:val="20"/>
                <w:szCs w:val="20"/>
                <w:lang w:val="en-US"/>
              </w:rPr>
              <w:t xml:space="preserve">  </w:t>
            </w:r>
          </w:p>
          <w:p w:rsidR="00E32BE0" w:rsidRPr="00E32BE0" w:rsidRDefault="00E32BE0" w:rsidP="00E32BE0">
            <w:pPr>
              <w:spacing w:after="0" w:line="240" w:lineRule="auto"/>
              <w:jc w:val="both"/>
              <w:rPr>
                <w:i/>
                <w:sz w:val="20"/>
                <w:szCs w:val="20"/>
              </w:rPr>
            </w:pPr>
            <w:r w:rsidRPr="00E32BE0">
              <w:rPr>
                <w:sz w:val="20"/>
                <w:szCs w:val="20"/>
                <w:lang w:val="en-US"/>
              </w:rPr>
              <w:t xml:space="preserve">e-mail: </w:t>
            </w:r>
            <w:hyperlink r:id="rId63" w:tgtFrame="_blank" w:history="1">
              <w:r w:rsidRPr="00E32BE0">
                <w:rPr>
                  <w:sz w:val="20"/>
                  <w:szCs w:val="20"/>
                  <w:u w:val="single"/>
                  <w:lang w:val="en-US"/>
                </w:rPr>
                <w:t>oloyko1964@ukr.net</w:t>
              </w:r>
            </w:hyperlink>
          </w:p>
        </w:tc>
      </w:tr>
      <w:tr w:rsidR="00E32BE0" w:rsidRPr="00E32BE0" w:rsidTr="00C07F42">
        <w:tc>
          <w:tcPr>
            <w:tcW w:w="9070" w:type="dxa"/>
          </w:tcPr>
          <w:p w:rsidR="00E32BE0" w:rsidRPr="00E32BE0" w:rsidRDefault="00E32BE0" w:rsidP="00E32BE0">
            <w:pPr>
              <w:spacing w:after="0" w:line="240" w:lineRule="auto"/>
              <w:jc w:val="both"/>
              <w:rPr>
                <w:sz w:val="20"/>
                <w:szCs w:val="20"/>
                <w:lang w:val="ru-RU"/>
              </w:rPr>
            </w:pPr>
            <w:r w:rsidRPr="00E32BE0">
              <w:rPr>
                <w:b/>
                <w:i/>
                <w:sz w:val="20"/>
                <w:szCs w:val="20"/>
              </w:rPr>
              <w:t>Матвейко Оксана Миколаївна</w:t>
            </w:r>
            <w:r w:rsidRPr="00E32BE0">
              <w:rPr>
                <w:sz w:val="20"/>
                <w:szCs w:val="20"/>
              </w:rPr>
              <w:t xml:space="preserve"> - доктор філософії, доцент, </w:t>
            </w:r>
            <w:r w:rsidRPr="00E32BE0">
              <w:rPr>
                <w:sz w:val="20"/>
                <w:szCs w:val="20"/>
                <w:lang w:val="ru-RU"/>
              </w:rPr>
              <w:t xml:space="preserve">Національна академія сухопутних військ імені гетьмана Петра Сагайдачного </w:t>
            </w:r>
          </w:p>
          <w:p w:rsidR="00E32BE0" w:rsidRPr="00E32BE0" w:rsidRDefault="00E32BE0" w:rsidP="00E32BE0">
            <w:pPr>
              <w:spacing w:after="0" w:line="240" w:lineRule="auto"/>
              <w:jc w:val="both"/>
              <w:rPr>
                <w:rFonts w:eastAsia="SimSun"/>
                <w:sz w:val="20"/>
                <w:szCs w:val="20"/>
                <w:lang w:eastAsia="zh-CN"/>
              </w:rPr>
            </w:pPr>
            <w:r w:rsidRPr="00E32BE0">
              <w:rPr>
                <w:rFonts w:eastAsia="SimSun"/>
                <w:sz w:val="20"/>
                <w:szCs w:val="20"/>
                <w:lang w:val="en-US" w:eastAsia="zh-CN"/>
              </w:rPr>
              <w:t>https</w:t>
            </w:r>
            <w:r w:rsidRPr="00E32BE0">
              <w:rPr>
                <w:rFonts w:eastAsia="SimSun"/>
                <w:sz w:val="20"/>
                <w:szCs w:val="20"/>
                <w:lang w:eastAsia="zh-CN"/>
              </w:rPr>
              <w:t>://</w:t>
            </w:r>
            <w:r w:rsidRPr="00E32BE0">
              <w:rPr>
                <w:rFonts w:eastAsia="SimSun"/>
                <w:sz w:val="20"/>
                <w:szCs w:val="20"/>
                <w:lang w:val="en-US" w:eastAsia="zh-CN"/>
              </w:rPr>
              <w:t>orcid</w:t>
            </w:r>
            <w:r w:rsidRPr="00E32BE0">
              <w:rPr>
                <w:rFonts w:eastAsia="SimSun"/>
                <w:sz w:val="20"/>
                <w:szCs w:val="20"/>
                <w:lang w:eastAsia="zh-CN"/>
              </w:rPr>
              <w:t>.</w:t>
            </w:r>
            <w:r w:rsidRPr="00E32BE0">
              <w:rPr>
                <w:rFonts w:eastAsia="SimSun"/>
                <w:sz w:val="20"/>
                <w:szCs w:val="20"/>
                <w:lang w:val="en-US" w:eastAsia="zh-CN"/>
              </w:rPr>
              <w:t>org</w:t>
            </w:r>
            <w:r w:rsidRPr="00E32BE0">
              <w:rPr>
                <w:rFonts w:eastAsia="SimSun"/>
                <w:sz w:val="20"/>
                <w:szCs w:val="20"/>
                <w:lang w:eastAsia="zh-CN"/>
              </w:rPr>
              <w:t>/</w:t>
            </w:r>
            <w:hyperlink r:id="rId64" w:tgtFrame="_blank" w:history="1">
              <w:r w:rsidRPr="00E32BE0">
                <w:rPr>
                  <w:rFonts w:eastAsia="SimSun"/>
                  <w:sz w:val="20"/>
                  <w:szCs w:val="20"/>
                  <w:lang w:eastAsia="zh-CN"/>
                </w:rPr>
                <w:t>0000-0003-1322-4884Х</w:t>
              </w:r>
            </w:hyperlink>
            <w:r w:rsidRPr="00E32BE0">
              <w:rPr>
                <w:rFonts w:eastAsia="SimSun"/>
                <w:sz w:val="20"/>
                <w:szCs w:val="20"/>
                <w:lang w:eastAsia="zh-CN"/>
              </w:rPr>
              <w:t xml:space="preserve"> </w:t>
            </w:r>
          </w:p>
          <w:p w:rsidR="00E32BE0" w:rsidRPr="00E32BE0" w:rsidRDefault="00E32BE0" w:rsidP="00E32BE0">
            <w:pPr>
              <w:spacing w:after="0" w:line="240" w:lineRule="auto"/>
              <w:jc w:val="both"/>
              <w:rPr>
                <w:rFonts w:eastAsia="SimSun"/>
                <w:kern w:val="1"/>
                <w:sz w:val="20"/>
                <w:szCs w:val="20"/>
                <w:lang w:eastAsia="zh-CN" w:bidi="hi-IN"/>
              </w:rPr>
            </w:pPr>
            <w:r w:rsidRPr="00E32BE0">
              <w:rPr>
                <w:rFonts w:eastAsia="SimSun"/>
                <w:sz w:val="20"/>
                <w:szCs w:val="20"/>
                <w:lang w:val="en-US" w:eastAsia="zh-CN"/>
              </w:rPr>
              <w:t>e-mail:</w:t>
            </w:r>
            <w:r w:rsidRPr="00E32BE0">
              <w:rPr>
                <w:rFonts w:eastAsia="SimSun"/>
                <w:sz w:val="20"/>
                <w:szCs w:val="20"/>
                <w:lang w:eastAsia="zh-CN"/>
              </w:rPr>
              <w:t xml:space="preserve"> </w:t>
            </w:r>
            <w:hyperlink r:id="rId65" w:history="1">
              <w:r w:rsidRPr="00E32BE0">
                <w:rPr>
                  <w:rFonts w:eastAsia="SimSun"/>
                  <w:sz w:val="20"/>
                  <w:szCs w:val="20"/>
                  <w:u w:val="single"/>
                  <w:lang w:val="en-US" w:eastAsia="zh-CN"/>
                </w:rPr>
                <w:t>oksanaball35@gmail.com</w:t>
              </w:r>
            </w:hyperlink>
          </w:p>
        </w:tc>
      </w:tr>
      <w:tr w:rsidR="00E32BE0" w:rsidRPr="00E32BE0" w:rsidTr="00C07F42">
        <w:tc>
          <w:tcPr>
            <w:tcW w:w="9070" w:type="dxa"/>
          </w:tcPr>
          <w:p w:rsidR="00E32BE0" w:rsidRPr="00E32BE0" w:rsidRDefault="00E32BE0" w:rsidP="00E32BE0">
            <w:pPr>
              <w:spacing w:after="0" w:line="240" w:lineRule="auto"/>
              <w:jc w:val="both"/>
              <w:rPr>
                <w:sz w:val="20"/>
                <w:szCs w:val="20"/>
                <w:lang w:val="ru-RU"/>
              </w:rPr>
            </w:pPr>
            <w:r w:rsidRPr="00E32BE0">
              <w:rPr>
                <w:b/>
                <w:i/>
                <w:sz w:val="20"/>
                <w:szCs w:val="20"/>
              </w:rPr>
              <w:t>Букрєєв Віктор Олександрович –</w:t>
            </w:r>
            <w:r w:rsidRPr="00E32BE0">
              <w:rPr>
                <w:sz w:val="20"/>
                <w:szCs w:val="20"/>
              </w:rPr>
              <w:t xml:space="preserve"> викладач, </w:t>
            </w:r>
            <w:r w:rsidRPr="00E32BE0">
              <w:rPr>
                <w:sz w:val="20"/>
                <w:szCs w:val="20"/>
                <w:lang w:val="ru-RU"/>
              </w:rPr>
              <w:t xml:space="preserve">Національна академія сухопутних військ імені гетьмана Петра Сагайдачного </w:t>
            </w:r>
          </w:p>
          <w:p w:rsidR="00E32BE0" w:rsidRPr="00E32BE0" w:rsidRDefault="00E32BE0" w:rsidP="00E32BE0">
            <w:pPr>
              <w:spacing w:after="0" w:line="240" w:lineRule="auto"/>
              <w:jc w:val="both"/>
              <w:rPr>
                <w:rFonts w:eastAsia="SimSun"/>
                <w:sz w:val="20"/>
                <w:szCs w:val="20"/>
                <w:lang w:eastAsia="zh-CN"/>
              </w:rPr>
            </w:pPr>
            <w:r w:rsidRPr="00E32BE0">
              <w:rPr>
                <w:rFonts w:eastAsia="SimSun"/>
                <w:sz w:val="20"/>
                <w:szCs w:val="20"/>
                <w:lang w:val="en-US" w:eastAsia="zh-CN"/>
              </w:rPr>
              <w:t>https</w:t>
            </w:r>
            <w:r w:rsidRPr="00E32BE0">
              <w:rPr>
                <w:rFonts w:eastAsia="SimSun"/>
                <w:sz w:val="20"/>
                <w:szCs w:val="20"/>
                <w:lang w:eastAsia="zh-CN"/>
              </w:rPr>
              <w:t>://</w:t>
            </w:r>
            <w:r w:rsidRPr="00E32BE0">
              <w:rPr>
                <w:rFonts w:eastAsia="SimSun"/>
                <w:sz w:val="20"/>
                <w:szCs w:val="20"/>
                <w:lang w:val="en-US" w:eastAsia="zh-CN"/>
              </w:rPr>
              <w:t>orcid</w:t>
            </w:r>
            <w:r w:rsidRPr="00E32BE0">
              <w:rPr>
                <w:rFonts w:eastAsia="SimSun"/>
                <w:sz w:val="20"/>
                <w:szCs w:val="20"/>
                <w:lang w:eastAsia="zh-CN"/>
              </w:rPr>
              <w:t>.</w:t>
            </w:r>
            <w:r w:rsidRPr="00E32BE0">
              <w:rPr>
                <w:rFonts w:eastAsia="SimSun"/>
                <w:sz w:val="20"/>
                <w:szCs w:val="20"/>
                <w:lang w:val="en-US" w:eastAsia="zh-CN"/>
              </w:rPr>
              <w:t>org</w:t>
            </w:r>
            <w:r w:rsidRPr="00E32BE0">
              <w:rPr>
                <w:rFonts w:eastAsia="SimSun"/>
                <w:sz w:val="20"/>
                <w:szCs w:val="20"/>
                <w:lang w:eastAsia="zh-CN"/>
              </w:rPr>
              <w:t xml:space="preserve">/0009-0004-5865-1807 </w:t>
            </w:r>
          </w:p>
          <w:p w:rsidR="00E32BE0" w:rsidRPr="00E32BE0" w:rsidRDefault="00E32BE0" w:rsidP="00E32BE0">
            <w:pPr>
              <w:spacing w:after="0" w:line="240" w:lineRule="auto"/>
              <w:jc w:val="both"/>
              <w:rPr>
                <w:b/>
                <w:i/>
                <w:sz w:val="20"/>
                <w:szCs w:val="20"/>
              </w:rPr>
            </w:pPr>
            <w:r w:rsidRPr="00E32BE0">
              <w:rPr>
                <w:sz w:val="20"/>
                <w:szCs w:val="20"/>
                <w:lang w:val="en-US"/>
              </w:rPr>
              <w:t>e</w:t>
            </w:r>
            <w:r w:rsidRPr="00E32BE0">
              <w:rPr>
                <w:sz w:val="20"/>
                <w:szCs w:val="20"/>
              </w:rPr>
              <w:t>-</w:t>
            </w:r>
            <w:r w:rsidRPr="00E32BE0">
              <w:rPr>
                <w:sz w:val="20"/>
                <w:szCs w:val="20"/>
                <w:lang w:val="en-US"/>
              </w:rPr>
              <w:t>mail</w:t>
            </w:r>
            <w:r w:rsidRPr="00E32BE0">
              <w:rPr>
                <w:sz w:val="20"/>
                <w:szCs w:val="20"/>
              </w:rPr>
              <w:t xml:space="preserve">: </w:t>
            </w:r>
            <w:hyperlink r:id="rId66" w:history="1">
              <w:r w:rsidRPr="00E32BE0">
                <w:rPr>
                  <w:sz w:val="20"/>
                  <w:szCs w:val="20"/>
                  <w:u w:val="single"/>
                  <w:lang w:val="en-US"/>
                </w:rPr>
                <w:t>VITAHA</w:t>
              </w:r>
              <w:r w:rsidRPr="00E32BE0">
                <w:rPr>
                  <w:sz w:val="20"/>
                  <w:szCs w:val="20"/>
                  <w:u w:val="single"/>
                </w:rPr>
                <w:t>1958@</w:t>
              </w:r>
              <w:r w:rsidRPr="00E32BE0">
                <w:rPr>
                  <w:sz w:val="20"/>
                  <w:szCs w:val="20"/>
                  <w:u w:val="single"/>
                  <w:lang w:val="en-US"/>
                </w:rPr>
                <w:t>gmail</w:t>
              </w:r>
              <w:r w:rsidRPr="00E32BE0">
                <w:rPr>
                  <w:sz w:val="20"/>
                  <w:szCs w:val="20"/>
                  <w:u w:val="single"/>
                </w:rPr>
                <w:t>.</w:t>
              </w:r>
              <w:r w:rsidRPr="00E32BE0">
                <w:rPr>
                  <w:sz w:val="20"/>
                  <w:szCs w:val="20"/>
                  <w:u w:val="single"/>
                  <w:lang w:val="en-US"/>
                </w:rPr>
                <w:t>com</w:t>
              </w:r>
            </w:hyperlink>
          </w:p>
        </w:tc>
      </w:tr>
    </w:tbl>
    <w:p w:rsidR="00E32BE0" w:rsidRPr="00E32BE0" w:rsidRDefault="00E32BE0" w:rsidP="00E32BE0">
      <w:pPr>
        <w:spacing w:after="0" w:line="240" w:lineRule="auto"/>
        <w:ind w:left="720"/>
        <w:contextualSpacing/>
        <w:jc w:val="both"/>
        <w:rPr>
          <w:sz w:val="20"/>
          <w:szCs w:val="20"/>
        </w:rPr>
      </w:pPr>
    </w:p>
    <w:p w:rsidR="00E32BE0" w:rsidRPr="00E32BE0" w:rsidRDefault="00E32BE0" w:rsidP="00E32BE0">
      <w:pPr>
        <w:spacing w:after="0" w:line="240" w:lineRule="auto"/>
        <w:ind w:left="720"/>
        <w:contextualSpacing/>
        <w:jc w:val="both"/>
        <w:rPr>
          <w:sz w:val="20"/>
          <w:szCs w:val="20"/>
        </w:rPr>
      </w:pPr>
    </w:p>
    <w:p w:rsidR="00E32BE0" w:rsidRPr="00E32BE0" w:rsidRDefault="00E32BE0" w:rsidP="00E32BE0">
      <w:pPr>
        <w:spacing w:after="0" w:line="240" w:lineRule="auto"/>
        <w:ind w:left="3261"/>
        <w:contextualSpacing/>
        <w:jc w:val="both"/>
        <w:rPr>
          <w:sz w:val="20"/>
          <w:szCs w:val="20"/>
        </w:rPr>
      </w:pPr>
      <w:r w:rsidRPr="00E32BE0">
        <w:rPr>
          <w:sz w:val="20"/>
          <w:szCs w:val="20"/>
        </w:rPr>
        <w:t>Дата першого надходження статті до видання: 19.03.2026</w:t>
      </w:r>
    </w:p>
    <w:p w:rsidR="00E32BE0" w:rsidRPr="00E32BE0" w:rsidRDefault="00E32BE0" w:rsidP="00E32BE0">
      <w:pPr>
        <w:spacing w:after="0" w:line="240" w:lineRule="auto"/>
        <w:ind w:left="3261"/>
        <w:contextualSpacing/>
        <w:jc w:val="both"/>
        <w:rPr>
          <w:sz w:val="20"/>
          <w:szCs w:val="20"/>
        </w:rPr>
      </w:pPr>
      <w:r w:rsidRPr="00E32BE0">
        <w:rPr>
          <w:sz w:val="20"/>
          <w:szCs w:val="20"/>
        </w:rPr>
        <w:t>Дата прийняття статті до друку після рецензування: 21.04.2026</w:t>
      </w:r>
    </w:p>
    <w:p w:rsidR="00B26CEE" w:rsidRDefault="00E32BE0" w:rsidP="00E32BE0">
      <w:pPr>
        <w:spacing w:after="0" w:line="240" w:lineRule="auto"/>
        <w:ind w:left="3261"/>
        <w:contextualSpacing/>
        <w:jc w:val="both"/>
        <w:rPr>
          <w:sz w:val="20"/>
          <w:szCs w:val="20"/>
        </w:rPr>
      </w:pPr>
      <w:r w:rsidRPr="00E32BE0">
        <w:rPr>
          <w:sz w:val="20"/>
          <w:szCs w:val="20"/>
        </w:rPr>
        <w:t>Дата публікації (оприлюднення) статті: 28.04.2026</w:t>
      </w:r>
    </w:p>
    <w:p w:rsidR="00B26CEE" w:rsidRDefault="00B26CEE">
      <w:pPr>
        <w:spacing w:after="160" w:line="259" w:lineRule="auto"/>
        <w:rPr>
          <w:sz w:val="20"/>
          <w:szCs w:val="20"/>
        </w:rPr>
      </w:pPr>
      <w:r>
        <w:rPr>
          <w:sz w:val="20"/>
          <w:szCs w:val="20"/>
        </w:rPr>
        <w:br w:type="page"/>
      </w: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B26CEE" w:rsidRPr="00B26CEE" w:rsidTr="00C07F42">
        <w:tc>
          <w:tcPr>
            <w:tcW w:w="3785" w:type="dxa"/>
          </w:tcPr>
          <w:p w:rsidR="00B26CEE" w:rsidRPr="00B26CEE" w:rsidRDefault="00B26CEE" w:rsidP="00B26CEE">
            <w:pPr>
              <w:spacing w:after="0" w:line="240" w:lineRule="auto"/>
              <w:rPr>
                <w:sz w:val="20"/>
                <w:szCs w:val="20"/>
                <w:lang w:eastAsia="uk-UA"/>
              </w:rPr>
            </w:pPr>
            <w:r w:rsidRPr="00B26CEE">
              <w:rPr>
                <w:sz w:val="20"/>
                <w:szCs w:val="20"/>
                <w:lang w:eastAsia="uk-UA"/>
              </w:rPr>
              <w:lastRenderedPageBreak/>
              <w:t>УДК 796.37.037</w:t>
            </w:r>
          </w:p>
          <w:p w:rsidR="00B26CEE" w:rsidRPr="00B26CEE" w:rsidRDefault="00B26CEE" w:rsidP="00B26CEE">
            <w:pPr>
              <w:spacing w:after="0" w:line="240" w:lineRule="auto"/>
              <w:rPr>
                <w:sz w:val="20"/>
                <w:szCs w:val="20"/>
                <w:lang w:val="uk-UA" w:eastAsia="uk-UA"/>
              </w:rPr>
            </w:pPr>
            <w:r w:rsidRPr="00B26CEE">
              <w:rPr>
                <w:sz w:val="20"/>
                <w:szCs w:val="20"/>
                <w:lang w:eastAsia="uk-UA"/>
              </w:rPr>
              <w:t xml:space="preserve">doi: </w:t>
            </w:r>
            <w:r w:rsidRPr="00B26CEE">
              <w:rPr>
                <w:rFonts w:eastAsia="SimSun"/>
                <w:kern w:val="1"/>
                <w:sz w:val="20"/>
                <w:szCs w:val="20"/>
                <w:lang w:eastAsia="zh-CN" w:bidi="hi-IN"/>
              </w:rPr>
              <w:t>10.15330/fcult.4</w:t>
            </w:r>
            <w:r w:rsidRPr="00B26CEE">
              <w:rPr>
                <w:rFonts w:eastAsia="SimSun"/>
                <w:kern w:val="1"/>
                <w:sz w:val="20"/>
                <w:szCs w:val="20"/>
                <w:lang w:val="uk-UA" w:eastAsia="zh-CN" w:bidi="hi-IN"/>
              </w:rPr>
              <w:t>6</w:t>
            </w:r>
            <w:r w:rsidRPr="00B26CEE">
              <w:rPr>
                <w:rFonts w:eastAsia="SimSun"/>
                <w:kern w:val="1"/>
                <w:sz w:val="20"/>
                <w:szCs w:val="20"/>
                <w:lang w:eastAsia="zh-CN" w:bidi="hi-IN"/>
              </w:rPr>
              <w:t>.</w:t>
            </w:r>
            <w:r w:rsidRPr="00B26CEE">
              <w:rPr>
                <w:rFonts w:eastAsia="SimSun"/>
                <w:kern w:val="1"/>
                <w:sz w:val="20"/>
                <w:szCs w:val="20"/>
                <w:lang w:val="uk-UA" w:eastAsia="zh-CN" w:bidi="hi-IN"/>
              </w:rPr>
              <w:t>24</w:t>
            </w:r>
            <w:r w:rsidRPr="00B26CEE">
              <w:rPr>
                <w:rFonts w:eastAsia="SimSun"/>
                <w:kern w:val="1"/>
                <w:sz w:val="20"/>
                <w:szCs w:val="20"/>
                <w:lang w:eastAsia="zh-CN" w:bidi="hi-IN"/>
              </w:rPr>
              <w:t>-</w:t>
            </w:r>
            <w:r w:rsidRPr="00B26CEE">
              <w:rPr>
                <w:rFonts w:eastAsia="SimSun"/>
                <w:kern w:val="1"/>
                <w:sz w:val="20"/>
                <w:szCs w:val="20"/>
                <w:lang w:val="uk-UA" w:eastAsia="zh-CN" w:bidi="hi-IN"/>
              </w:rPr>
              <w:t>29</w:t>
            </w:r>
          </w:p>
        </w:tc>
        <w:tc>
          <w:tcPr>
            <w:tcW w:w="5501" w:type="dxa"/>
          </w:tcPr>
          <w:p w:rsidR="00B26CEE" w:rsidRPr="00DA6CC0" w:rsidRDefault="00B26CEE" w:rsidP="00B26CEE">
            <w:pPr>
              <w:spacing w:after="0" w:line="240" w:lineRule="auto"/>
              <w:jc w:val="right"/>
              <w:rPr>
                <w:b/>
                <w:i/>
                <w:iCs/>
                <w:sz w:val="20"/>
                <w:szCs w:val="20"/>
              </w:rPr>
            </w:pPr>
            <w:r w:rsidRPr="00DA6CC0">
              <w:rPr>
                <w:b/>
                <w:i/>
                <w:iCs/>
                <w:sz w:val="20"/>
                <w:szCs w:val="20"/>
              </w:rPr>
              <w:t>Пауліна Крефт</w:t>
            </w:r>
          </w:p>
          <w:p w:rsidR="00B26CEE" w:rsidRPr="00B26CEE" w:rsidRDefault="00B26CEE" w:rsidP="00B26CEE">
            <w:pPr>
              <w:spacing w:after="0" w:line="240" w:lineRule="auto"/>
              <w:jc w:val="right"/>
              <w:rPr>
                <w:i/>
                <w:sz w:val="20"/>
                <w:szCs w:val="20"/>
                <w:lang w:eastAsia="uk-UA"/>
              </w:rPr>
            </w:pPr>
          </w:p>
        </w:tc>
      </w:tr>
    </w:tbl>
    <w:p w:rsidR="00B26CEE" w:rsidRPr="00B26CEE" w:rsidRDefault="00B26CEE" w:rsidP="00B26CEE">
      <w:pPr>
        <w:keepNext/>
        <w:keepLines/>
        <w:spacing w:before="40" w:after="0" w:line="240" w:lineRule="auto"/>
        <w:jc w:val="center"/>
        <w:outlineLvl w:val="1"/>
        <w:rPr>
          <w:b/>
          <w:bCs/>
          <w:sz w:val="24"/>
          <w:szCs w:val="24"/>
        </w:rPr>
      </w:pPr>
      <w:bookmarkStart w:id="25" w:name="_Hlk223433332"/>
    </w:p>
    <w:p w:rsidR="00B26CEE" w:rsidRPr="00B26CEE" w:rsidRDefault="00B26CEE" w:rsidP="00B26CEE">
      <w:pPr>
        <w:keepNext/>
        <w:keepLines/>
        <w:spacing w:before="40" w:after="0" w:line="240" w:lineRule="auto"/>
        <w:jc w:val="center"/>
        <w:outlineLvl w:val="1"/>
        <w:rPr>
          <w:b/>
          <w:bCs/>
          <w:sz w:val="24"/>
          <w:szCs w:val="24"/>
        </w:rPr>
      </w:pPr>
      <w:r w:rsidRPr="00B26CEE">
        <w:rPr>
          <w:b/>
          <w:bCs/>
          <w:sz w:val="24"/>
          <w:szCs w:val="24"/>
        </w:rPr>
        <w:t xml:space="preserve">ПОРІВНЯЛЬНИЙ БІОМЕХАНІЧНИЙ АНАЛІЗ ТЕХНІКИ УЖИТКОВОГО ПЛАВАННЯ КРОЛЕМ НА ГРУДЯХ МЕТОДОМ «ПОВНОГО ЗАНУРЕННЯ» ТА КЛАСИЧНИМ КРОЛЕМ </w:t>
      </w:r>
    </w:p>
    <w:bookmarkEnd w:id="25"/>
    <w:p w:rsidR="00B26CEE" w:rsidRPr="00B26CEE" w:rsidRDefault="00B26CEE" w:rsidP="00B26CEE">
      <w:pPr>
        <w:spacing w:after="0" w:line="240" w:lineRule="auto"/>
        <w:jc w:val="center"/>
        <w:rPr>
          <w:rFonts w:eastAsia="Calibri"/>
          <w:sz w:val="24"/>
          <w:szCs w:val="24"/>
        </w:rPr>
      </w:pPr>
    </w:p>
    <w:p w:rsidR="00B26CEE" w:rsidRPr="00B26CEE" w:rsidRDefault="00B26CEE" w:rsidP="00B26CEE">
      <w:pPr>
        <w:spacing w:after="0" w:line="240" w:lineRule="auto"/>
        <w:ind w:firstLine="567"/>
        <w:jc w:val="both"/>
        <w:rPr>
          <w:sz w:val="20"/>
          <w:szCs w:val="20"/>
        </w:rPr>
      </w:pPr>
      <w:r w:rsidRPr="00B26CEE">
        <w:rPr>
          <w:b/>
          <w:sz w:val="20"/>
          <w:szCs w:val="20"/>
        </w:rPr>
        <w:t>Анотація</w:t>
      </w:r>
      <w:r w:rsidRPr="00B26CEE">
        <w:rPr>
          <w:b/>
          <w:sz w:val="20"/>
          <w:szCs w:val="20"/>
          <w:lang w:val="ru-RU"/>
        </w:rPr>
        <w:t xml:space="preserve">. </w:t>
      </w:r>
      <w:r w:rsidRPr="00B26CEE">
        <w:rPr>
          <w:i/>
          <w:iCs/>
          <w:sz w:val="20"/>
          <w:szCs w:val="20"/>
        </w:rPr>
        <w:t>Мета дослідження</w:t>
      </w:r>
      <w:r w:rsidRPr="00B26CEE">
        <w:rPr>
          <w:sz w:val="20"/>
          <w:szCs w:val="20"/>
        </w:rPr>
        <w:t xml:space="preserve"> – здійснити порівняльний біомеханічний (кінематичний) аналіз техніки ужиткового плавання кролем на грудях методом «повного занурення» та класичним кролем шляхом визначення відмінностей у просторово-часових характеристиках та показниках швидкісної ефективності. </w:t>
      </w:r>
      <w:r w:rsidRPr="00B26CEE">
        <w:rPr>
          <w:i/>
          <w:iCs/>
          <w:sz w:val="20"/>
          <w:szCs w:val="20"/>
        </w:rPr>
        <w:t>Методи й організація дослідження</w:t>
      </w:r>
      <w:r w:rsidRPr="00B26CEE">
        <w:rPr>
          <w:sz w:val="20"/>
          <w:szCs w:val="20"/>
        </w:rPr>
        <w:t xml:space="preserve">. Використано покадровий кінематичний аналіз із високочастотною підводною відеофіксацією для визначення довжини гребка (SL), частоти гребків (SR), середньої швидкості (v) та тривалості циклу (T). Досвідчена плавчиня (30 років) виконала десять запливів на 25 м у критому басейні. </w:t>
      </w:r>
      <w:r w:rsidRPr="00B26CEE">
        <w:rPr>
          <w:i/>
          <w:iCs/>
          <w:sz w:val="20"/>
          <w:szCs w:val="20"/>
        </w:rPr>
        <w:t>Результати</w:t>
      </w:r>
      <w:r w:rsidRPr="00B26CEE">
        <w:rPr>
          <w:sz w:val="20"/>
          <w:szCs w:val="20"/>
        </w:rPr>
        <w:t xml:space="preserve">. Метод «повного занурення» забезпечує подовження довжини гребка (+21,61%), зниження середньої швидкості (–40,39%) і частоти гребків (–53,08%) та подовження циклу у 2,2 раза порівняно з класичним кролем. </w:t>
      </w:r>
      <w:r w:rsidRPr="00B26CEE">
        <w:rPr>
          <w:i/>
          <w:iCs/>
          <w:sz w:val="20"/>
          <w:szCs w:val="20"/>
        </w:rPr>
        <w:t>Висновки</w:t>
      </w:r>
      <w:r w:rsidRPr="00B26CEE">
        <w:rPr>
          <w:sz w:val="20"/>
          <w:szCs w:val="20"/>
        </w:rPr>
        <w:t>. Техніка реалізується в економічному режимі з рівномірним розподілом фаз, стабілізованою траєкторією тіла та оптимізацією внутрішньоциклових коливань. Класичний кроль демонструє більшу швидкість завдяки високій частоті гребків і коротшим циклам, але з менш економічним розподілом сил. Результати можуть бути використані для вдосконалення техніки та підвищення ефективності тренувань.</w:t>
      </w:r>
    </w:p>
    <w:p w:rsidR="00B26CEE" w:rsidRPr="00B26CEE" w:rsidRDefault="00B26CEE" w:rsidP="00B26CEE">
      <w:pPr>
        <w:spacing w:after="0" w:line="240" w:lineRule="auto"/>
        <w:ind w:firstLine="709"/>
        <w:jc w:val="both"/>
        <w:rPr>
          <w:sz w:val="20"/>
          <w:szCs w:val="20"/>
        </w:rPr>
      </w:pPr>
      <w:r w:rsidRPr="00B26CEE">
        <w:rPr>
          <w:b/>
          <w:bCs/>
          <w:sz w:val="20"/>
          <w:szCs w:val="20"/>
        </w:rPr>
        <w:t>Ключові слова:</w:t>
      </w:r>
      <w:r w:rsidRPr="00B26CEE">
        <w:rPr>
          <w:sz w:val="20"/>
          <w:szCs w:val="20"/>
        </w:rPr>
        <w:t xml:space="preserve"> довжина гребка, середня швидкість, частота гребків, тривалість циклу, економічність плавання, техніка плавання</w:t>
      </w:r>
    </w:p>
    <w:p w:rsidR="00B26CEE" w:rsidRPr="00B26CEE" w:rsidRDefault="00B26CEE" w:rsidP="00B26CEE">
      <w:pPr>
        <w:spacing w:after="0" w:line="240" w:lineRule="auto"/>
        <w:ind w:firstLine="709"/>
        <w:jc w:val="both"/>
        <w:rPr>
          <w:i/>
          <w:iCs/>
          <w:sz w:val="20"/>
          <w:szCs w:val="20"/>
        </w:rPr>
      </w:pPr>
    </w:p>
    <w:p w:rsidR="00B26CEE" w:rsidRPr="00B26CEE" w:rsidRDefault="00B26CEE" w:rsidP="00B26CEE">
      <w:pPr>
        <w:spacing w:after="0" w:line="240" w:lineRule="auto"/>
        <w:ind w:firstLine="709"/>
        <w:jc w:val="both"/>
        <w:rPr>
          <w:sz w:val="20"/>
          <w:szCs w:val="20"/>
        </w:rPr>
      </w:pPr>
      <w:r w:rsidRPr="00B26CEE">
        <w:rPr>
          <w:b/>
          <w:iCs/>
          <w:sz w:val="20"/>
          <w:szCs w:val="20"/>
        </w:rPr>
        <w:t xml:space="preserve">Summary. </w:t>
      </w:r>
      <w:r w:rsidRPr="00B26CEE">
        <w:rPr>
          <w:i/>
          <w:iCs/>
          <w:sz w:val="20"/>
          <w:szCs w:val="20"/>
        </w:rPr>
        <w:t>Objective of the study</w:t>
      </w:r>
      <w:r w:rsidRPr="00B26CEE">
        <w:rPr>
          <w:sz w:val="20"/>
          <w:szCs w:val="20"/>
        </w:rPr>
        <w:t xml:space="preserve"> – to conduct a comparative biomechanical (kinematic) analysis of recreational front crawl swimming using the Total Immersion method and the classical front crawl by identifying differences in spatiotemporal characteristics and indicators of speed efficiency. </w:t>
      </w:r>
      <w:r w:rsidRPr="00B26CEE">
        <w:rPr>
          <w:i/>
          <w:iCs/>
          <w:sz w:val="20"/>
          <w:szCs w:val="20"/>
        </w:rPr>
        <w:t>Methods and study design</w:t>
      </w:r>
      <w:r w:rsidRPr="00B26CEE">
        <w:rPr>
          <w:sz w:val="20"/>
          <w:szCs w:val="20"/>
        </w:rPr>
        <w:t xml:space="preserve">. Frame-by-frame kinematic analysis with high-frequency underwater video recording was applied, allowing determination of spatiotemporal movement characteristics, stroke length (SL), stroke rate (SR), and average velocity (v). The study involved an experienced 30-year-old female swimmer who performed a series of ten 25-meter swims in an indoor pool. The obtained data were compared with results from contemporary studies of swimmers. The main parameters analyzed were stroke length (SL), average velocity (SV), stroke rate (SR), and cycle duration (T). </w:t>
      </w:r>
      <w:r w:rsidRPr="00B26CEE">
        <w:rPr>
          <w:i/>
          <w:iCs/>
          <w:sz w:val="20"/>
          <w:szCs w:val="20"/>
        </w:rPr>
        <w:t>Results</w:t>
      </w:r>
      <w:r w:rsidRPr="00B26CEE">
        <w:rPr>
          <w:sz w:val="20"/>
          <w:szCs w:val="20"/>
        </w:rPr>
        <w:t xml:space="preserve"> showed that the Total Immersion method is characterized by a significant increase in stroke length (+21.61%), a decrease in average velocity (–40.39%), a reduction in stroke rate (–53.08%), and an increase in cycle duration by 2.2 times compared to the classical front crawl. </w:t>
      </w:r>
      <w:r w:rsidRPr="00B26CEE">
        <w:rPr>
          <w:i/>
          <w:iCs/>
          <w:sz w:val="20"/>
          <w:szCs w:val="20"/>
        </w:rPr>
        <w:t>Conclusions</w:t>
      </w:r>
      <w:r w:rsidRPr="00B26CEE">
        <w:rPr>
          <w:sz w:val="20"/>
          <w:szCs w:val="20"/>
        </w:rPr>
        <w:t>. These findings indicate that the Total Immersion technique is performed in an economical, energy-saving mode: the increased stroke length compensates for the lower stroke rate, ensuring a more even distribution of movement phases, a stabilized body trajectory, and optimized intracycle velocity fluctuations. The classical front crawl demonstrates higher velocity due to a higher stroke rate and shorter cycles, but with a less economical distribution of force components. The results can be applied to improve recreational swimming technique, enhance efficiency, and optimize the distribution of movement phases in training programs.</w:t>
      </w:r>
    </w:p>
    <w:p w:rsidR="00B26CEE" w:rsidRPr="00B26CEE" w:rsidRDefault="00B26CEE" w:rsidP="00B26CEE">
      <w:pPr>
        <w:spacing w:after="0" w:line="240" w:lineRule="auto"/>
        <w:ind w:firstLine="709"/>
        <w:jc w:val="both"/>
        <w:rPr>
          <w:sz w:val="20"/>
          <w:szCs w:val="20"/>
        </w:rPr>
      </w:pPr>
      <w:r w:rsidRPr="00B26CEE">
        <w:rPr>
          <w:b/>
          <w:bCs/>
          <w:sz w:val="20"/>
          <w:szCs w:val="20"/>
        </w:rPr>
        <w:t>Keywords</w:t>
      </w:r>
      <w:r w:rsidRPr="00B26CEE">
        <w:rPr>
          <w:sz w:val="20"/>
          <w:szCs w:val="20"/>
        </w:rPr>
        <w:t>: stroke length, average velocity, stroke rate, cycle duration, swimming efficiency, swimming technique</w:t>
      </w:r>
    </w:p>
    <w:p w:rsidR="00B26CEE" w:rsidRPr="00B26CEE" w:rsidRDefault="00B26CEE" w:rsidP="00B26CEE">
      <w:pPr>
        <w:spacing w:after="0" w:line="240" w:lineRule="auto"/>
        <w:ind w:firstLine="709"/>
        <w:jc w:val="both"/>
        <w:rPr>
          <w:sz w:val="24"/>
          <w:szCs w:val="24"/>
        </w:rPr>
      </w:pPr>
    </w:p>
    <w:p w:rsidR="00B26CEE" w:rsidRPr="00B26CEE" w:rsidRDefault="00B26CEE" w:rsidP="00B26CEE">
      <w:pPr>
        <w:spacing w:after="0" w:line="240" w:lineRule="auto"/>
        <w:ind w:firstLine="709"/>
        <w:jc w:val="both"/>
        <w:outlineLvl w:val="1"/>
        <w:rPr>
          <w:sz w:val="24"/>
          <w:szCs w:val="24"/>
        </w:rPr>
      </w:pPr>
      <w:r w:rsidRPr="00B26CEE">
        <w:rPr>
          <w:b/>
          <w:bCs/>
          <w:sz w:val="24"/>
          <w:szCs w:val="24"/>
        </w:rPr>
        <w:t>Постановка проблеми й аналіз результатів останніх досліджень</w:t>
      </w:r>
      <w:r w:rsidRPr="00B26CEE">
        <w:rPr>
          <w:sz w:val="24"/>
          <w:szCs w:val="24"/>
        </w:rPr>
        <w:t>. Сучасні тенденції розвитку плавання зумовлюють необхідність поглибленого біомеханічного аналізу різних технічних моделей плавання кролем на грудях з метою підвищення ефективності руху та економічності плавання. Особливої уваги потребує порівняння кінематичних характеристик ужиткової техніки методом «повного занурення» та класичної техніки плавання кролем, що дозволяє об’єктивно оцінити їх фазову структуру та раціональність розподілу часу в межах плавального циклу.</w:t>
      </w:r>
    </w:p>
    <w:p w:rsidR="00B26CEE" w:rsidRPr="00B26CEE" w:rsidRDefault="00B26CEE" w:rsidP="00B26CEE">
      <w:pPr>
        <w:spacing w:after="0" w:line="240" w:lineRule="auto"/>
        <w:ind w:firstLine="709"/>
        <w:jc w:val="both"/>
        <w:rPr>
          <w:rFonts w:eastAsia="Calibri"/>
          <w:sz w:val="24"/>
          <w:szCs w:val="24"/>
        </w:rPr>
      </w:pPr>
      <w:r w:rsidRPr="00B26CEE">
        <w:rPr>
          <w:rFonts w:eastAsia="Calibri"/>
          <w:sz w:val="24"/>
          <w:szCs w:val="24"/>
        </w:rPr>
        <w:t xml:space="preserve">Фундаментальний огляд біомеханіки плавання кролем на грудях [1] </w:t>
      </w:r>
      <w:r w:rsidRPr="00B26CEE">
        <w:rPr>
          <w:rFonts w:eastAsia="Calibri"/>
          <w:sz w:val="24"/>
          <w:szCs w:val="24"/>
          <w:lang w:val="en-US"/>
        </w:rPr>
        <w:t>c</w:t>
      </w:r>
      <w:r w:rsidRPr="00B26CEE">
        <w:rPr>
          <w:rFonts w:eastAsia="Calibri"/>
          <w:sz w:val="24"/>
          <w:szCs w:val="24"/>
        </w:rPr>
        <w:t>истематизує основні кінематичні та динамічні компоненти, що визначають продуктивність плавця, виділяє центральні параметри (частота, довжина гребка, кутові траєкторії) і підкреслює важливість мінімізації опору та стабільного горизонтального положення тіла.</w:t>
      </w:r>
    </w:p>
    <w:p w:rsidR="00B26CEE" w:rsidRPr="00B26CEE" w:rsidRDefault="00B26CEE" w:rsidP="00B26CEE">
      <w:pPr>
        <w:framePr w:w="9481" w:h="653" w:hRule="exact" w:wrap="auto" w:vAnchor="page" w:hAnchor="page" w:x="1554" w:y="15857"/>
        <w:spacing w:after="160" w:line="259" w:lineRule="auto"/>
        <w:ind w:left="33" w:right="-1"/>
        <w:rPr>
          <w:rFonts w:eastAsia="Calibri"/>
          <w:sz w:val="20"/>
          <w:szCs w:val="20"/>
        </w:rPr>
      </w:pPr>
      <w:r w:rsidRPr="00B26CEE">
        <w:rPr>
          <w:rFonts w:eastAsia="Calibri"/>
          <w:sz w:val="20"/>
          <w:szCs w:val="20"/>
        </w:rPr>
        <w:t>©</w:t>
      </w:r>
      <w:r w:rsidRPr="00B26CEE">
        <w:rPr>
          <w:rFonts w:eastAsia="Calibri"/>
          <w:spacing w:val="33"/>
          <w:sz w:val="20"/>
          <w:szCs w:val="20"/>
        </w:rPr>
        <w:t xml:space="preserve"> </w:t>
      </w:r>
      <w:r w:rsidRPr="00B26CEE">
        <w:rPr>
          <w:rFonts w:eastAsia="Calibri"/>
          <w:bCs/>
          <w:sz w:val="20"/>
          <w:szCs w:val="20"/>
        </w:rPr>
        <w:t>Крефт</w:t>
      </w:r>
      <w:r w:rsidRPr="00B26CEE">
        <w:rPr>
          <w:rFonts w:eastAsia="Calibri"/>
          <w:spacing w:val="1"/>
          <w:sz w:val="20"/>
          <w:szCs w:val="20"/>
        </w:rPr>
        <w:t xml:space="preserve"> </w:t>
      </w:r>
      <w:r w:rsidRPr="00B26CEE">
        <w:rPr>
          <w:rFonts w:eastAsia="Calibri"/>
          <w:bCs/>
          <w:sz w:val="20"/>
          <w:szCs w:val="20"/>
        </w:rPr>
        <w:t>П.,</w:t>
      </w:r>
      <w:r w:rsidRPr="00B26CEE">
        <w:rPr>
          <w:rFonts w:eastAsia="Calibri"/>
          <w:spacing w:val="1"/>
          <w:sz w:val="20"/>
          <w:szCs w:val="20"/>
        </w:rPr>
        <w:t xml:space="preserve"> 2026</w:t>
      </w:r>
      <w:r w:rsidRPr="00B26CEE">
        <w:rPr>
          <w:rFonts w:eastAsia="Calibri"/>
          <w:spacing w:val="1"/>
          <w:sz w:val="20"/>
          <w:szCs w:val="20"/>
        </w:rPr>
        <w:tab/>
      </w:r>
      <w:r w:rsidRPr="00B26CEE">
        <w:rPr>
          <w:rFonts w:eastAsia="Calibri"/>
          <w:spacing w:val="1"/>
          <w:sz w:val="20"/>
          <w:szCs w:val="20"/>
        </w:rPr>
        <w:tab/>
      </w:r>
      <w:r w:rsidRPr="00B26CEE">
        <w:rPr>
          <w:rFonts w:eastAsia="Calibri"/>
          <w:spacing w:val="1"/>
          <w:sz w:val="20"/>
          <w:szCs w:val="20"/>
        </w:rPr>
        <w:tab/>
      </w:r>
      <w:r w:rsidRPr="00B26CEE">
        <w:rPr>
          <w:rFonts w:eastAsia="Calibri"/>
          <w:spacing w:val="1"/>
          <w:sz w:val="20"/>
          <w:szCs w:val="20"/>
        </w:rPr>
        <w:tab/>
        <w:t xml:space="preserve">         Увесь контент ліцензовано за умовами СС BY 4.0</w:t>
      </w:r>
    </w:p>
    <w:p w:rsidR="00B26CEE" w:rsidRPr="00B26CEE" w:rsidRDefault="00B26CEE" w:rsidP="00B26CEE">
      <w:pPr>
        <w:spacing w:after="0" w:line="240" w:lineRule="auto"/>
        <w:ind w:firstLine="709"/>
        <w:jc w:val="both"/>
        <w:rPr>
          <w:rFonts w:eastAsia="Calibri"/>
          <w:sz w:val="24"/>
          <w:szCs w:val="24"/>
        </w:rPr>
      </w:pPr>
      <w:r w:rsidRPr="00B26CEE">
        <w:rPr>
          <w:rFonts w:eastAsia="Calibri"/>
          <w:sz w:val="24"/>
          <w:szCs w:val="24"/>
        </w:rPr>
        <w:t>Нові дослідження</w:t>
      </w:r>
      <w:r w:rsidRPr="00B26CEE">
        <w:rPr>
          <w:rFonts w:eastAsia="Calibri"/>
          <w:b/>
          <w:bCs/>
          <w:sz w:val="24"/>
          <w:szCs w:val="24"/>
        </w:rPr>
        <w:t xml:space="preserve"> </w:t>
      </w:r>
      <w:r w:rsidRPr="00B26CEE">
        <w:rPr>
          <w:rFonts w:eastAsia="Calibri"/>
          <w:sz w:val="24"/>
          <w:szCs w:val="24"/>
        </w:rPr>
        <w:t xml:space="preserve">[2,3] підкреслюють, що для повноцінного опису ефективності техніки необхідно аналізувати не лише середні значення параметрів, а й </w:t>
      </w:r>
      <w:r w:rsidRPr="00B26CEE">
        <w:rPr>
          <w:rFonts w:eastAsia="Calibri"/>
          <w:sz w:val="24"/>
          <w:szCs w:val="24"/>
        </w:rPr>
        <w:lastRenderedPageBreak/>
        <w:t xml:space="preserve">внутрішньоциклові профілі, що відповідає нашому підходу. Так, сучасний огляд [2], який аналізує механіку контролю швидкості в кролі з гідродинамічної точки зору, узагальнює вплив положення тіла на опір, внутрішньоциклові коливання швидкості, важливість оптимального балансу довжини і частоти гребків для економічності. Сучасне дослідження [3], яке застосовує статистичне параметричне картографування (SPM) для аналізу пропульсивних характеристик у кролі оцінює кінематичні профілі руху під час циклу, дозволяє виявляти відмінності фазових патернів, добре ілюструє неоднорідність поведінки швидкості в межах циклу. </w:t>
      </w:r>
    </w:p>
    <w:p w:rsidR="00B26CEE" w:rsidRPr="00B26CEE" w:rsidRDefault="00B26CEE" w:rsidP="00B26CEE">
      <w:pPr>
        <w:spacing w:after="0" w:line="240" w:lineRule="auto"/>
        <w:ind w:firstLine="709"/>
        <w:jc w:val="both"/>
        <w:rPr>
          <w:sz w:val="24"/>
          <w:szCs w:val="24"/>
        </w:rPr>
      </w:pPr>
      <w:r w:rsidRPr="00B26CEE">
        <w:rPr>
          <w:sz w:val="24"/>
          <w:szCs w:val="24"/>
        </w:rPr>
        <w:t xml:space="preserve">Класичні джерела </w:t>
      </w:r>
      <w:r w:rsidRPr="00B26CEE">
        <w:rPr>
          <w:sz w:val="24"/>
          <w:szCs w:val="24"/>
          <w:lang w:val="ru-RU"/>
        </w:rPr>
        <w:t>[4</w:t>
      </w:r>
      <w:r w:rsidRPr="00B26CEE">
        <w:rPr>
          <w:sz w:val="24"/>
          <w:szCs w:val="24"/>
        </w:rPr>
        <w:t>,5</w:t>
      </w:r>
      <w:r w:rsidRPr="00B26CEE">
        <w:rPr>
          <w:sz w:val="24"/>
          <w:szCs w:val="24"/>
          <w:lang w:val="ru-RU"/>
        </w:rPr>
        <w:t xml:space="preserve">] </w:t>
      </w:r>
      <w:r w:rsidRPr="00B26CEE">
        <w:rPr>
          <w:sz w:val="24"/>
          <w:szCs w:val="24"/>
        </w:rPr>
        <w:t>підтверджують, що оптимальна техніка плавання кролем – це не максимальна частота, а баланс між частотою і довжиною гребка. Джерела [6,7] розглядають координацію рухів та фазові взаємозв’язки у кролі: зміни скручування плечей та стегон, взаємозалежність фазових компонентів циклу.</w:t>
      </w:r>
    </w:p>
    <w:p w:rsidR="00B26CEE" w:rsidRPr="00B26CEE" w:rsidRDefault="00B26CEE" w:rsidP="00B26CEE">
      <w:pPr>
        <w:spacing w:after="0" w:line="240" w:lineRule="auto"/>
        <w:ind w:firstLine="709"/>
        <w:jc w:val="both"/>
        <w:rPr>
          <w:sz w:val="24"/>
          <w:szCs w:val="24"/>
        </w:rPr>
      </w:pPr>
      <w:r w:rsidRPr="00B26CEE">
        <w:rPr>
          <w:sz w:val="24"/>
          <w:szCs w:val="24"/>
        </w:rPr>
        <w:t>Попри значну кількість досліджень, присвячених біомеханіці кроля на грудях, у сучасній науковій літературі недостатньо висвітленими залишаються такі аспекти, як аналіз фазової структури плавального циклу в межах альтернативних технічних моделей, зокрема з позицій просторово-часового розподілу рухів та обґрунтовання співвідношення економічності та швидкісної ефективності в альтернативних технічних моделях плавання, що ускладнює оцінку їх придатності для змагальної або рекреаційної практики.</w:t>
      </w:r>
    </w:p>
    <w:p w:rsidR="00B26CEE" w:rsidRPr="00B26CEE" w:rsidRDefault="00B26CEE" w:rsidP="00B26CEE">
      <w:pPr>
        <w:spacing w:after="0" w:line="240" w:lineRule="auto"/>
        <w:ind w:firstLine="709"/>
        <w:jc w:val="both"/>
        <w:rPr>
          <w:sz w:val="24"/>
          <w:szCs w:val="24"/>
        </w:rPr>
      </w:pPr>
      <w:r w:rsidRPr="00B26CEE">
        <w:rPr>
          <w:sz w:val="24"/>
          <w:szCs w:val="24"/>
        </w:rPr>
        <w:t>Таким чином, потребує уточнення питання, чи забезпечує техніка «повного занурення» лише підвищення економічності руху, чи може вона бути ефективною з позицій підтримання оптимальної середньої швидкості у порівнянні з класичною змагальною моделлю.</w:t>
      </w:r>
    </w:p>
    <w:p w:rsidR="00B26CEE" w:rsidRPr="00B26CEE" w:rsidRDefault="00B26CEE" w:rsidP="00B26CEE">
      <w:pPr>
        <w:spacing w:after="0" w:line="240" w:lineRule="auto"/>
        <w:ind w:firstLine="709"/>
        <w:jc w:val="both"/>
        <w:rPr>
          <w:sz w:val="24"/>
          <w:szCs w:val="24"/>
        </w:rPr>
      </w:pPr>
      <w:r w:rsidRPr="00B26CEE">
        <w:rPr>
          <w:b/>
          <w:bCs/>
          <w:sz w:val="24"/>
          <w:szCs w:val="24"/>
        </w:rPr>
        <w:t>Мета</w:t>
      </w:r>
      <w:r w:rsidRPr="00B26CEE">
        <w:rPr>
          <w:sz w:val="24"/>
          <w:szCs w:val="24"/>
        </w:rPr>
        <w:t xml:space="preserve"> </w:t>
      </w:r>
      <w:r w:rsidRPr="00B26CEE">
        <w:rPr>
          <w:b/>
          <w:sz w:val="24"/>
          <w:szCs w:val="24"/>
        </w:rPr>
        <w:t>дослідження</w:t>
      </w:r>
      <w:r w:rsidRPr="00B26CEE">
        <w:rPr>
          <w:sz w:val="24"/>
          <w:szCs w:val="24"/>
        </w:rPr>
        <w:t xml:space="preserve"> – здійснити порівняльний біомеханічний (кінематичний) аналіз техніки ужиткового плавання кролем на грудях методом «повного занурення» та класичним кролем шляхом визначення відмінностей у просторово-часових характеристиках та показниках швидкісної ефективності.</w:t>
      </w:r>
    </w:p>
    <w:p w:rsidR="00B26CEE" w:rsidRPr="00B26CEE" w:rsidRDefault="00B26CEE" w:rsidP="00B26CEE">
      <w:pPr>
        <w:spacing w:before="40" w:after="0" w:line="240" w:lineRule="auto"/>
        <w:ind w:firstLine="709"/>
        <w:outlineLvl w:val="1"/>
        <w:rPr>
          <w:b/>
          <w:bCs/>
          <w:sz w:val="24"/>
          <w:szCs w:val="24"/>
        </w:rPr>
      </w:pPr>
      <w:r w:rsidRPr="00B26CEE">
        <w:rPr>
          <w:b/>
          <w:bCs/>
          <w:sz w:val="24"/>
          <w:szCs w:val="24"/>
        </w:rPr>
        <w:t xml:space="preserve">Методи й організація дослідження. </w:t>
      </w:r>
    </w:p>
    <w:p w:rsidR="00B26CEE" w:rsidRPr="00B26CEE" w:rsidRDefault="00B26CEE" w:rsidP="00B26CEE">
      <w:pPr>
        <w:spacing w:after="0" w:line="240" w:lineRule="auto"/>
        <w:ind w:firstLine="720"/>
        <w:jc w:val="both"/>
        <w:rPr>
          <w:sz w:val="24"/>
          <w:szCs w:val="24"/>
        </w:rPr>
      </w:pPr>
      <w:r w:rsidRPr="00B26CEE">
        <w:rPr>
          <w:sz w:val="24"/>
          <w:szCs w:val="24"/>
        </w:rPr>
        <w:t>Дослідження мало характер одноосібного експериментального біомеханічного аналізу техніки ужиткового плавання кролем на грудях методом «повного занурення» з подальшим порівнянням результатів із даними спеціальної літератури.</w:t>
      </w:r>
    </w:p>
    <w:p w:rsidR="00B26CEE" w:rsidRPr="00B26CEE" w:rsidRDefault="00B26CEE" w:rsidP="00B26CEE">
      <w:pPr>
        <w:spacing w:after="0" w:line="240" w:lineRule="auto"/>
        <w:ind w:firstLine="720"/>
        <w:jc w:val="both"/>
        <w:rPr>
          <w:sz w:val="24"/>
          <w:szCs w:val="24"/>
        </w:rPr>
      </w:pPr>
      <w:r w:rsidRPr="00B26CEE">
        <w:rPr>
          <w:sz w:val="24"/>
          <w:szCs w:val="24"/>
        </w:rPr>
        <w:t>Констатувальний експеримент проведено у лютому 2023 року в 25-метровому критому басейні університету в стандартизованих умовах. У дослідженні взяла участь плавчиня 30 років (172 см, 70 кг), яка володіє зазначеною технікою. Після розминки (500 м) спортсменка виконала 10 запливів по 25 м у рекреаційному режимі. Аналіз здійснювався в межах середньої частини дистанції (5–20 м), що дозволило виключити вплив старту та фінішу.</w:t>
      </w:r>
    </w:p>
    <w:p w:rsidR="00B26CEE" w:rsidRPr="00B26CEE" w:rsidRDefault="00B26CEE" w:rsidP="00B26CEE">
      <w:pPr>
        <w:spacing w:after="0" w:line="240" w:lineRule="auto"/>
        <w:ind w:firstLine="720"/>
        <w:jc w:val="both"/>
        <w:rPr>
          <w:sz w:val="24"/>
          <w:szCs w:val="24"/>
        </w:rPr>
      </w:pPr>
      <w:r w:rsidRPr="00B26CEE">
        <w:rPr>
          <w:sz w:val="24"/>
          <w:szCs w:val="24"/>
        </w:rPr>
        <w:t>Реєстрацію рухів проводили підводною відеокамерою (120 Гц), а обробку – за допомогою програми Kinovea 0.9.5 (покадровий кінематичний аналіз). Визначали тривалість циклу (T), довжину гребка (SL), частоту гребків (SR), середню швидкість (v = SL·SR), а також внутрішньоциклові кінематичні характеристики (координати фіксованих точок, кути сегментів тіла, швидкість їх переміщення).</w:t>
      </w:r>
    </w:p>
    <w:p w:rsidR="00B26CEE" w:rsidRPr="00B26CEE" w:rsidRDefault="00B26CEE" w:rsidP="00B26CEE">
      <w:pPr>
        <w:spacing w:after="0" w:line="240" w:lineRule="auto"/>
        <w:ind w:firstLine="720"/>
        <w:jc w:val="both"/>
        <w:rPr>
          <w:sz w:val="24"/>
          <w:szCs w:val="24"/>
        </w:rPr>
      </w:pPr>
      <w:r w:rsidRPr="00B26CEE">
        <w:rPr>
          <w:sz w:val="24"/>
          <w:szCs w:val="24"/>
        </w:rPr>
        <w:t>Отримані показники порівнювали з даними дослідження [</w:t>
      </w:r>
      <w:r w:rsidRPr="00B26CEE">
        <w:rPr>
          <w:sz w:val="24"/>
          <w:szCs w:val="24"/>
          <w:lang w:val="ru-RU"/>
        </w:rPr>
        <w:t>8,</w:t>
      </w:r>
      <w:r w:rsidRPr="00B26CEE">
        <w:rPr>
          <w:sz w:val="24"/>
          <w:szCs w:val="24"/>
        </w:rPr>
        <w:t>9], виконаного на 10 плавчинях (18,2±4,6 років), де аналізували вплив плавання з додатковим опором на кінематичні параметри гребка. Для зіставлення використовували SL, SR, середню швидкість, тривалість циклу.</w:t>
      </w:r>
    </w:p>
    <w:p w:rsidR="00B26CEE" w:rsidRPr="00B26CEE" w:rsidRDefault="00B26CEE" w:rsidP="00B26CEE">
      <w:pPr>
        <w:spacing w:after="0" w:line="240" w:lineRule="auto"/>
        <w:ind w:firstLine="720"/>
        <w:jc w:val="both"/>
        <w:rPr>
          <w:sz w:val="24"/>
          <w:szCs w:val="24"/>
        </w:rPr>
      </w:pPr>
      <w:r w:rsidRPr="00B26CEE">
        <w:rPr>
          <w:sz w:val="24"/>
          <w:szCs w:val="24"/>
        </w:rPr>
        <w:t>Статистична обробка включала розрахунок середніх значень, стандартних відхилень і застосування Statistical Parametric Mapping (SPM) для виявлення відмінностей у профілях внутрішньоциклової швидкості. Такий дизайн забезпечив валідність, повторюваність та інформативність результатів для оцінки ефективності техніки «повного занурення».</w:t>
      </w:r>
    </w:p>
    <w:p w:rsidR="00B26CEE" w:rsidRPr="00B26CEE" w:rsidRDefault="00B26CEE" w:rsidP="00B26CEE">
      <w:pPr>
        <w:spacing w:after="0" w:line="240" w:lineRule="auto"/>
        <w:ind w:firstLine="708"/>
        <w:jc w:val="both"/>
        <w:rPr>
          <w:rFonts w:eastAsia="Calibri"/>
          <w:sz w:val="24"/>
          <w:szCs w:val="24"/>
        </w:rPr>
      </w:pPr>
      <w:r w:rsidRPr="00B26CEE">
        <w:rPr>
          <w:rFonts w:eastAsia="Calibri"/>
          <w:b/>
          <w:bCs/>
          <w:sz w:val="24"/>
          <w:szCs w:val="24"/>
        </w:rPr>
        <w:lastRenderedPageBreak/>
        <w:t>Результати дослідження</w:t>
      </w:r>
      <w:r w:rsidRPr="00B26CEE">
        <w:rPr>
          <w:rFonts w:eastAsia="Calibri"/>
          <w:sz w:val="24"/>
          <w:szCs w:val="24"/>
        </w:rPr>
        <w:t>. Отримані результати (табл.1) свідчать про суттєву перебудову структури рухового циклу та кінематичних характеристик при використанні техніки «повного занурення» порівняно з даними, представленими у спеціальній літературі щодо традиційного кроля на грудях. Порівняння наших результатів з даними спеціальної літератури показує значно більшу  довжину гребка; знижену частоту; подовжений цикл. Водночас середня швидкість істотно нижча, ніж у даних [10]; ефективність у швидкісному аспекті поступається традиційній моделі.</w:t>
      </w:r>
    </w:p>
    <w:p w:rsidR="00B26CEE" w:rsidRPr="00B26CEE" w:rsidRDefault="00B26CEE" w:rsidP="00B26CEE">
      <w:pPr>
        <w:spacing w:after="0" w:line="240" w:lineRule="auto"/>
        <w:ind w:firstLine="709"/>
        <w:jc w:val="both"/>
        <w:rPr>
          <w:rFonts w:eastAsia="Calibri"/>
          <w:sz w:val="24"/>
          <w:szCs w:val="24"/>
        </w:rPr>
      </w:pPr>
      <w:r w:rsidRPr="00B26CEE">
        <w:rPr>
          <w:rFonts w:eastAsia="Calibri"/>
          <w:sz w:val="24"/>
          <w:szCs w:val="24"/>
        </w:rPr>
        <w:t>Так, під час плавання кролем методом «повного занурення» довжина гребка була на 21,6% більша, ніж під час плавання класичним методом [10]. Це свідчить про кращу фазу ковзання, більш повне використання пропульсивного імпульсу, зниження гідродинамічного опору, ефективніше витягування тіла у горизонтальній площині.</w:t>
      </w:r>
    </w:p>
    <w:p w:rsidR="00B26CEE" w:rsidRPr="00B26CEE" w:rsidRDefault="00B26CEE" w:rsidP="00B26CEE">
      <w:pPr>
        <w:spacing w:after="0" w:line="240" w:lineRule="auto"/>
        <w:jc w:val="right"/>
        <w:rPr>
          <w:i/>
          <w:iCs/>
          <w:sz w:val="24"/>
          <w:szCs w:val="24"/>
          <w:lang w:eastAsia="ru-RU"/>
        </w:rPr>
      </w:pPr>
    </w:p>
    <w:p w:rsidR="00B26CEE" w:rsidRPr="00B26CEE" w:rsidRDefault="00B26CEE" w:rsidP="00B26CEE">
      <w:pPr>
        <w:spacing w:after="0" w:line="240" w:lineRule="auto"/>
        <w:jc w:val="right"/>
        <w:rPr>
          <w:i/>
          <w:iCs/>
          <w:sz w:val="24"/>
          <w:szCs w:val="24"/>
          <w:lang w:eastAsia="ru-RU"/>
        </w:rPr>
      </w:pPr>
      <w:r w:rsidRPr="00B26CEE">
        <w:rPr>
          <w:i/>
          <w:iCs/>
          <w:sz w:val="24"/>
          <w:szCs w:val="24"/>
          <w:lang w:eastAsia="ru-RU"/>
        </w:rPr>
        <w:t>Таблиця 1</w:t>
      </w:r>
    </w:p>
    <w:p w:rsidR="00B26CEE" w:rsidRPr="00B26CEE" w:rsidRDefault="00B26CEE" w:rsidP="00B26CEE">
      <w:pPr>
        <w:spacing w:after="0" w:line="240" w:lineRule="auto"/>
        <w:jc w:val="center"/>
        <w:rPr>
          <w:b/>
          <w:i/>
          <w:iCs/>
          <w:sz w:val="24"/>
          <w:szCs w:val="24"/>
          <w:lang w:eastAsia="ru-RU"/>
        </w:rPr>
      </w:pPr>
      <w:r w:rsidRPr="00B26CEE">
        <w:rPr>
          <w:b/>
          <w:sz w:val="24"/>
          <w:szCs w:val="24"/>
          <w:lang w:eastAsia="ru-RU"/>
        </w:rPr>
        <w:t>Кінематичні показники техніки ужиткового плавання кролем на грудях методом «повного занурення» і класичним кролем</w:t>
      </w:r>
    </w:p>
    <w:tbl>
      <w:tblPr>
        <w:tblStyle w:val="21"/>
        <w:tblW w:w="9312" w:type="dxa"/>
        <w:tblBorders>
          <w:insideH w:val="none" w:sz="0" w:space="0" w:color="auto"/>
          <w:insideV w:val="none" w:sz="0" w:space="0" w:color="auto"/>
        </w:tblBorders>
        <w:tblLayout w:type="fixed"/>
        <w:tblLook w:val="04A0" w:firstRow="1" w:lastRow="0" w:firstColumn="1" w:lastColumn="0" w:noHBand="0" w:noVBand="1"/>
      </w:tblPr>
      <w:tblGrid>
        <w:gridCol w:w="3794"/>
        <w:gridCol w:w="1974"/>
        <w:gridCol w:w="1701"/>
        <w:gridCol w:w="1843"/>
      </w:tblGrid>
      <w:tr w:rsidR="00B26CEE" w:rsidRPr="00B26CEE" w:rsidTr="00C07F42">
        <w:tc>
          <w:tcPr>
            <w:tcW w:w="3794" w:type="dxa"/>
            <w:tcBorders>
              <w:top w:val="single" w:sz="4" w:space="0" w:color="auto"/>
              <w:bottom w:val="single" w:sz="4" w:space="0" w:color="auto"/>
            </w:tcBorders>
            <w:vAlign w:val="center"/>
          </w:tcPr>
          <w:p w:rsidR="00B26CEE" w:rsidRPr="00B26CEE" w:rsidRDefault="00B26CEE" w:rsidP="00B26CEE">
            <w:pPr>
              <w:spacing w:before="100" w:beforeAutospacing="1" w:after="100" w:afterAutospacing="1" w:line="240" w:lineRule="auto"/>
              <w:rPr>
                <w:sz w:val="24"/>
                <w:szCs w:val="24"/>
                <w:lang w:val="en-US"/>
              </w:rPr>
            </w:pPr>
            <w:r w:rsidRPr="00B26CEE">
              <w:rPr>
                <w:sz w:val="24"/>
                <w:szCs w:val="24"/>
                <w:lang w:val="ru-RU"/>
              </w:rPr>
              <w:t>Показники</w:t>
            </w:r>
          </w:p>
        </w:tc>
        <w:tc>
          <w:tcPr>
            <w:tcW w:w="1974" w:type="dxa"/>
            <w:tcBorders>
              <w:top w:val="single" w:sz="4" w:space="0" w:color="auto"/>
              <w:bottom w:val="single" w:sz="4" w:space="0" w:color="auto"/>
            </w:tcBorders>
            <w:vAlign w:val="center"/>
          </w:tcPr>
          <w:p w:rsidR="00B26CEE" w:rsidRPr="00B26CEE" w:rsidRDefault="00B26CEE" w:rsidP="00B26CEE">
            <w:pPr>
              <w:spacing w:before="100" w:beforeAutospacing="1" w:after="100" w:afterAutospacing="1" w:line="240" w:lineRule="auto"/>
              <w:rPr>
                <w:sz w:val="24"/>
                <w:szCs w:val="24"/>
              </w:rPr>
            </w:pPr>
            <w:bookmarkStart w:id="26" w:name="_Hlk223421811"/>
            <w:r w:rsidRPr="00B26CEE">
              <w:rPr>
                <w:sz w:val="24"/>
                <w:szCs w:val="24"/>
              </w:rPr>
              <w:t xml:space="preserve">Метод «повного занурення», </w:t>
            </w:r>
            <w:bookmarkEnd w:id="26"/>
            <w:r w:rsidRPr="00B26CEE">
              <w:rPr>
                <w:sz w:val="24"/>
                <w:szCs w:val="24"/>
              </w:rPr>
              <w:t xml:space="preserve">власні дані </w:t>
            </w:r>
            <w:r w:rsidRPr="00B26CEE">
              <w:rPr>
                <w:sz w:val="24"/>
                <w:szCs w:val="24"/>
                <w:lang w:val="ru-RU"/>
              </w:rPr>
              <w:t>[9]</w:t>
            </w:r>
          </w:p>
        </w:tc>
        <w:tc>
          <w:tcPr>
            <w:tcW w:w="1701" w:type="dxa"/>
            <w:tcBorders>
              <w:top w:val="single" w:sz="4" w:space="0" w:color="auto"/>
              <w:bottom w:val="single" w:sz="4" w:space="0" w:color="auto"/>
            </w:tcBorders>
            <w:vAlign w:val="center"/>
          </w:tcPr>
          <w:p w:rsidR="00B26CEE" w:rsidRPr="00B26CEE" w:rsidRDefault="00B26CEE" w:rsidP="00B26CEE">
            <w:pPr>
              <w:spacing w:before="100" w:beforeAutospacing="1" w:after="100" w:afterAutospacing="1" w:line="240" w:lineRule="auto"/>
              <w:rPr>
                <w:sz w:val="24"/>
                <w:szCs w:val="24"/>
                <w:lang w:val="ru-RU"/>
              </w:rPr>
            </w:pPr>
            <w:r w:rsidRPr="00B26CEE">
              <w:rPr>
                <w:sz w:val="24"/>
                <w:szCs w:val="24"/>
              </w:rPr>
              <w:t>Класичний метод плавання [10]</w:t>
            </w:r>
          </w:p>
        </w:tc>
        <w:tc>
          <w:tcPr>
            <w:tcW w:w="1843" w:type="dxa"/>
            <w:tcBorders>
              <w:top w:val="single" w:sz="4" w:space="0" w:color="auto"/>
              <w:bottom w:val="single" w:sz="4" w:space="0" w:color="auto"/>
            </w:tcBorders>
            <w:vAlign w:val="center"/>
          </w:tcPr>
          <w:p w:rsidR="00B26CEE" w:rsidRPr="00B26CEE" w:rsidRDefault="00B26CEE" w:rsidP="00B26CEE">
            <w:pPr>
              <w:spacing w:before="100" w:beforeAutospacing="1" w:after="100" w:afterAutospacing="1" w:line="240" w:lineRule="auto"/>
              <w:rPr>
                <w:sz w:val="24"/>
                <w:szCs w:val="24"/>
              </w:rPr>
            </w:pPr>
            <w:r w:rsidRPr="00B26CEE">
              <w:rPr>
                <w:sz w:val="24"/>
                <w:szCs w:val="24"/>
              </w:rPr>
              <w:t>Розбіжності,%</w:t>
            </w:r>
          </w:p>
        </w:tc>
      </w:tr>
      <w:tr w:rsidR="00B26CEE" w:rsidRPr="00B26CEE" w:rsidTr="00C07F42">
        <w:tc>
          <w:tcPr>
            <w:tcW w:w="3794" w:type="dxa"/>
            <w:tcBorders>
              <w:top w:val="single" w:sz="4" w:space="0" w:color="auto"/>
            </w:tcBorders>
          </w:tcPr>
          <w:p w:rsidR="00B26CEE" w:rsidRPr="00B26CEE" w:rsidRDefault="00B26CEE" w:rsidP="00B26CEE">
            <w:pPr>
              <w:spacing w:before="100" w:beforeAutospacing="1" w:after="100" w:afterAutospacing="1" w:line="240" w:lineRule="auto"/>
              <w:rPr>
                <w:sz w:val="24"/>
                <w:szCs w:val="24"/>
                <w:lang w:val="en-US"/>
              </w:rPr>
            </w:pPr>
            <w:r w:rsidRPr="00B26CEE">
              <w:rPr>
                <w:sz w:val="24"/>
                <w:szCs w:val="24"/>
                <w:lang w:val="en-US"/>
              </w:rPr>
              <w:t xml:space="preserve">SL </w:t>
            </w:r>
            <w:r w:rsidRPr="00B26CEE">
              <w:rPr>
                <w:sz w:val="24"/>
                <w:szCs w:val="24"/>
              </w:rPr>
              <w:t xml:space="preserve">– </w:t>
            </w:r>
            <w:bookmarkStart w:id="27" w:name="_Hlk223425132"/>
            <w:r w:rsidRPr="00B26CEE">
              <w:rPr>
                <w:sz w:val="24"/>
                <w:szCs w:val="24"/>
              </w:rPr>
              <w:t>довжина гребка</w:t>
            </w:r>
            <w:bookmarkEnd w:id="27"/>
            <w:r w:rsidRPr="00B26CEE">
              <w:rPr>
                <w:sz w:val="24"/>
                <w:szCs w:val="24"/>
              </w:rPr>
              <w:t>, м</w:t>
            </w:r>
          </w:p>
        </w:tc>
        <w:tc>
          <w:tcPr>
            <w:tcW w:w="1974" w:type="dxa"/>
            <w:tcBorders>
              <w:top w:val="single" w:sz="4" w:space="0" w:color="auto"/>
            </w:tcBorders>
          </w:tcPr>
          <w:p w:rsidR="00B26CEE" w:rsidRPr="00B26CEE" w:rsidRDefault="00B26CEE" w:rsidP="00B26CEE">
            <w:pPr>
              <w:spacing w:before="100" w:beforeAutospacing="1" w:after="100" w:afterAutospacing="1" w:line="240" w:lineRule="auto"/>
              <w:rPr>
                <w:sz w:val="24"/>
                <w:szCs w:val="24"/>
              </w:rPr>
            </w:pPr>
            <w:r w:rsidRPr="00B26CEE">
              <w:rPr>
                <w:sz w:val="24"/>
                <w:szCs w:val="24"/>
              </w:rPr>
              <w:t>2,36±0,07</w:t>
            </w:r>
          </w:p>
        </w:tc>
        <w:tc>
          <w:tcPr>
            <w:tcW w:w="1701" w:type="dxa"/>
            <w:tcBorders>
              <w:top w:val="single" w:sz="4" w:space="0" w:color="auto"/>
            </w:tcBorders>
          </w:tcPr>
          <w:p w:rsidR="00B26CEE" w:rsidRPr="00B26CEE" w:rsidRDefault="00B26CEE" w:rsidP="00B26CEE">
            <w:pPr>
              <w:spacing w:before="100" w:beforeAutospacing="1" w:after="100" w:afterAutospacing="1" w:line="240" w:lineRule="auto"/>
              <w:rPr>
                <w:sz w:val="24"/>
                <w:szCs w:val="24"/>
              </w:rPr>
            </w:pPr>
            <w:r w:rsidRPr="00B26CEE">
              <w:rPr>
                <w:sz w:val="24"/>
                <w:szCs w:val="24"/>
              </w:rPr>
              <w:t>1,85±0,09</w:t>
            </w:r>
          </w:p>
        </w:tc>
        <w:tc>
          <w:tcPr>
            <w:tcW w:w="1843" w:type="dxa"/>
            <w:tcBorders>
              <w:top w:val="single" w:sz="4" w:space="0" w:color="auto"/>
            </w:tcBorders>
          </w:tcPr>
          <w:p w:rsidR="00B26CEE" w:rsidRPr="00B26CEE" w:rsidRDefault="00B26CEE" w:rsidP="00B26CEE">
            <w:pPr>
              <w:spacing w:before="100" w:beforeAutospacing="1" w:after="100" w:afterAutospacing="1" w:line="240" w:lineRule="auto"/>
              <w:rPr>
                <w:sz w:val="24"/>
                <w:szCs w:val="24"/>
              </w:rPr>
            </w:pPr>
            <w:r w:rsidRPr="00B26CEE">
              <w:rPr>
                <w:sz w:val="24"/>
                <w:szCs w:val="24"/>
              </w:rPr>
              <w:t>21,61%</w:t>
            </w:r>
          </w:p>
        </w:tc>
      </w:tr>
      <w:tr w:rsidR="00B26CEE" w:rsidRPr="00B26CEE" w:rsidTr="00C07F42">
        <w:tc>
          <w:tcPr>
            <w:tcW w:w="3794" w:type="dxa"/>
          </w:tcPr>
          <w:p w:rsidR="00B26CEE" w:rsidRPr="00B26CEE" w:rsidRDefault="00B26CEE" w:rsidP="00B26CEE">
            <w:pPr>
              <w:spacing w:before="100" w:beforeAutospacing="1" w:after="100" w:afterAutospacing="1" w:line="240" w:lineRule="auto"/>
              <w:rPr>
                <w:sz w:val="24"/>
                <w:szCs w:val="24"/>
              </w:rPr>
            </w:pPr>
            <w:r w:rsidRPr="00B26CEE">
              <w:rPr>
                <w:sz w:val="24"/>
                <w:szCs w:val="24"/>
                <w:lang w:val="en-US"/>
              </w:rPr>
              <w:t>SV</w:t>
            </w:r>
            <w:r w:rsidRPr="00B26CEE">
              <w:rPr>
                <w:sz w:val="24"/>
                <w:szCs w:val="24"/>
              </w:rPr>
              <w:t xml:space="preserve"> – середня швидкість, м·с</w:t>
            </w:r>
            <w:r w:rsidRPr="00B26CEE">
              <w:rPr>
                <w:sz w:val="24"/>
                <w:szCs w:val="24"/>
                <w:vertAlign w:val="superscript"/>
              </w:rPr>
              <w:t>-1</w:t>
            </w:r>
          </w:p>
        </w:tc>
        <w:tc>
          <w:tcPr>
            <w:tcW w:w="1974" w:type="dxa"/>
          </w:tcPr>
          <w:p w:rsidR="00B26CEE" w:rsidRPr="00B26CEE" w:rsidRDefault="00B26CEE" w:rsidP="00B26CEE">
            <w:pPr>
              <w:spacing w:before="100" w:beforeAutospacing="1" w:after="100" w:afterAutospacing="1" w:line="240" w:lineRule="auto"/>
              <w:rPr>
                <w:sz w:val="24"/>
                <w:szCs w:val="24"/>
              </w:rPr>
            </w:pPr>
            <w:r w:rsidRPr="00B26CEE">
              <w:rPr>
                <w:sz w:val="24"/>
                <w:szCs w:val="24"/>
              </w:rPr>
              <w:t>0,93±0,02</w:t>
            </w:r>
          </w:p>
        </w:tc>
        <w:tc>
          <w:tcPr>
            <w:tcW w:w="1701" w:type="dxa"/>
          </w:tcPr>
          <w:p w:rsidR="00B26CEE" w:rsidRPr="00B26CEE" w:rsidRDefault="00B26CEE" w:rsidP="00B26CEE">
            <w:pPr>
              <w:spacing w:before="100" w:beforeAutospacing="1" w:after="100" w:afterAutospacing="1" w:line="240" w:lineRule="auto"/>
              <w:rPr>
                <w:sz w:val="24"/>
                <w:szCs w:val="24"/>
                <w:lang w:val="ru-RU"/>
              </w:rPr>
            </w:pPr>
            <w:r w:rsidRPr="00B26CEE">
              <w:rPr>
                <w:sz w:val="24"/>
                <w:szCs w:val="24"/>
              </w:rPr>
              <w:t>1,56±0,07</w:t>
            </w:r>
          </w:p>
        </w:tc>
        <w:tc>
          <w:tcPr>
            <w:tcW w:w="1843" w:type="dxa"/>
          </w:tcPr>
          <w:p w:rsidR="00B26CEE" w:rsidRPr="00B26CEE" w:rsidRDefault="00B26CEE" w:rsidP="00B26CEE">
            <w:pPr>
              <w:spacing w:before="100" w:beforeAutospacing="1" w:after="100" w:afterAutospacing="1" w:line="240" w:lineRule="auto"/>
              <w:rPr>
                <w:sz w:val="24"/>
                <w:szCs w:val="24"/>
              </w:rPr>
            </w:pPr>
            <w:r w:rsidRPr="00B26CEE">
              <w:rPr>
                <w:sz w:val="24"/>
                <w:szCs w:val="24"/>
              </w:rPr>
              <w:t>-40,39</w:t>
            </w:r>
          </w:p>
        </w:tc>
      </w:tr>
      <w:tr w:rsidR="00B26CEE" w:rsidRPr="00B26CEE" w:rsidTr="00C07F42">
        <w:trPr>
          <w:trHeight w:val="277"/>
        </w:trPr>
        <w:tc>
          <w:tcPr>
            <w:tcW w:w="3794" w:type="dxa"/>
          </w:tcPr>
          <w:p w:rsidR="00B26CEE" w:rsidRPr="00B26CEE" w:rsidRDefault="00B26CEE" w:rsidP="00B26CEE">
            <w:pPr>
              <w:spacing w:before="100" w:beforeAutospacing="1" w:after="100" w:afterAutospacing="1" w:line="240" w:lineRule="auto"/>
              <w:rPr>
                <w:sz w:val="24"/>
                <w:szCs w:val="24"/>
              </w:rPr>
            </w:pPr>
            <w:r w:rsidRPr="00B26CEE">
              <w:rPr>
                <w:sz w:val="24"/>
                <w:szCs w:val="24"/>
                <w:lang w:val="en-US"/>
              </w:rPr>
              <w:t>SR</w:t>
            </w:r>
            <w:r w:rsidRPr="00B26CEE">
              <w:rPr>
                <w:sz w:val="24"/>
                <w:szCs w:val="24"/>
              </w:rPr>
              <w:t xml:space="preserve"> – </w:t>
            </w:r>
            <w:bookmarkStart w:id="28" w:name="_Hlk223425387"/>
            <w:r w:rsidRPr="00B26CEE">
              <w:rPr>
                <w:sz w:val="24"/>
                <w:szCs w:val="24"/>
              </w:rPr>
              <w:t>кількість гребків за хв</w:t>
            </w:r>
            <w:bookmarkEnd w:id="28"/>
          </w:p>
        </w:tc>
        <w:tc>
          <w:tcPr>
            <w:tcW w:w="1974" w:type="dxa"/>
          </w:tcPr>
          <w:p w:rsidR="00B26CEE" w:rsidRPr="00B26CEE" w:rsidRDefault="00B26CEE" w:rsidP="00B26CEE">
            <w:pPr>
              <w:spacing w:before="100" w:beforeAutospacing="1" w:after="100" w:afterAutospacing="1" w:line="240" w:lineRule="auto"/>
              <w:rPr>
                <w:sz w:val="24"/>
                <w:szCs w:val="24"/>
              </w:rPr>
            </w:pPr>
            <w:r w:rsidRPr="00B26CEE">
              <w:rPr>
                <w:sz w:val="24"/>
                <w:szCs w:val="24"/>
              </w:rPr>
              <w:t>23,65±0,38</w:t>
            </w:r>
          </w:p>
        </w:tc>
        <w:tc>
          <w:tcPr>
            <w:tcW w:w="1701" w:type="dxa"/>
          </w:tcPr>
          <w:p w:rsidR="00B26CEE" w:rsidRPr="00B26CEE" w:rsidRDefault="00B26CEE" w:rsidP="00B26CEE">
            <w:pPr>
              <w:spacing w:before="100" w:beforeAutospacing="1" w:after="100" w:afterAutospacing="1" w:line="240" w:lineRule="auto"/>
              <w:rPr>
                <w:sz w:val="24"/>
                <w:szCs w:val="24"/>
                <w:lang w:val="ru-RU"/>
              </w:rPr>
            </w:pPr>
            <w:r w:rsidRPr="00B26CEE">
              <w:rPr>
                <w:sz w:val="24"/>
                <w:szCs w:val="24"/>
              </w:rPr>
              <w:t>50,40±0,30</w:t>
            </w:r>
          </w:p>
        </w:tc>
        <w:tc>
          <w:tcPr>
            <w:tcW w:w="1843" w:type="dxa"/>
          </w:tcPr>
          <w:p w:rsidR="00B26CEE" w:rsidRPr="00B26CEE" w:rsidRDefault="00B26CEE" w:rsidP="00B26CEE">
            <w:pPr>
              <w:spacing w:before="100" w:beforeAutospacing="1" w:after="100" w:afterAutospacing="1" w:line="240" w:lineRule="auto"/>
              <w:rPr>
                <w:sz w:val="24"/>
                <w:szCs w:val="24"/>
              </w:rPr>
            </w:pPr>
            <w:r w:rsidRPr="00B26CEE">
              <w:rPr>
                <w:sz w:val="24"/>
                <w:szCs w:val="24"/>
              </w:rPr>
              <w:t>53,08</w:t>
            </w:r>
          </w:p>
        </w:tc>
      </w:tr>
      <w:tr w:rsidR="00B26CEE" w:rsidRPr="00B26CEE" w:rsidTr="00C07F42">
        <w:tc>
          <w:tcPr>
            <w:tcW w:w="3794" w:type="dxa"/>
          </w:tcPr>
          <w:p w:rsidR="00B26CEE" w:rsidRPr="00B26CEE" w:rsidRDefault="00B26CEE" w:rsidP="00B26CEE">
            <w:pPr>
              <w:spacing w:before="100" w:beforeAutospacing="1" w:after="100" w:afterAutospacing="1" w:line="240" w:lineRule="auto"/>
              <w:rPr>
                <w:sz w:val="24"/>
                <w:szCs w:val="24"/>
              </w:rPr>
            </w:pPr>
            <w:r w:rsidRPr="00B26CEE">
              <w:rPr>
                <w:sz w:val="24"/>
                <w:szCs w:val="24"/>
              </w:rPr>
              <w:t>Т – тривалість циклу, с</w:t>
            </w:r>
          </w:p>
        </w:tc>
        <w:tc>
          <w:tcPr>
            <w:tcW w:w="1974" w:type="dxa"/>
          </w:tcPr>
          <w:p w:rsidR="00B26CEE" w:rsidRPr="00B26CEE" w:rsidRDefault="00B26CEE" w:rsidP="00B26CEE">
            <w:pPr>
              <w:spacing w:before="100" w:beforeAutospacing="1" w:after="100" w:afterAutospacing="1" w:line="240" w:lineRule="auto"/>
              <w:rPr>
                <w:sz w:val="24"/>
                <w:szCs w:val="24"/>
              </w:rPr>
            </w:pPr>
            <w:r w:rsidRPr="00B26CEE">
              <w:rPr>
                <w:rFonts w:eastAsia="Calibri"/>
                <w:sz w:val="24"/>
                <w:szCs w:val="24"/>
              </w:rPr>
              <w:t>2,59±0,09</w:t>
            </w:r>
          </w:p>
        </w:tc>
        <w:tc>
          <w:tcPr>
            <w:tcW w:w="1701" w:type="dxa"/>
          </w:tcPr>
          <w:p w:rsidR="00B26CEE" w:rsidRPr="00B26CEE" w:rsidRDefault="00B26CEE" w:rsidP="00B26CEE">
            <w:pPr>
              <w:spacing w:before="100" w:beforeAutospacing="1" w:after="100" w:afterAutospacing="1" w:line="240" w:lineRule="auto"/>
              <w:rPr>
                <w:sz w:val="24"/>
                <w:szCs w:val="24"/>
              </w:rPr>
            </w:pPr>
            <w:r w:rsidRPr="00B26CEE">
              <w:rPr>
                <w:sz w:val="24"/>
                <w:szCs w:val="24"/>
              </w:rPr>
              <w:t>1,19±0,10</w:t>
            </w:r>
          </w:p>
        </w:tc>
        <w:tc>
          <w:tcPr>
            <w:tcW w:w="1843" w:type="dxa"/>
          </w:tcPr>
          <w:p w:rsidR="00B26CEE" w:rsidRPr="00B26CEE" w:rsidRDefault="00B26CEE" w:rsidP="00B26CEE">
            <w:pPr>
              <w:spacing w:after="0" w:line="240" w:lineRule="auto"/>
              <w:rPr>
                <w:rFonts w:eastAsia="Calibri"/>
                <w:sz w:val="24"/>
                <w:szCs w:val="24"/>
              </w:rPr>
            </w:pPr>
            <w:r w:rsidRPr="00B26CEE">
              <w:rPr>
                <w:rFonts w:eastAsia="Calibri"/>
                <w:sz w:val="24"/>
                <w:szCs w:val="24"/>
              </w:rPr>
              <w:t>у 2,2 раза</w:t>
            </w:r>
          </w:p>
        </w:tc>
      </w:tr>
    </w:tbl>
    <w:p w:rsidR="00B26CEE" w:rsidRPr="00B26CEE" w:rsidRDefault="00B26CEE" w:rsidP="00B26CEE">
      <w:pPr>
        <w:spacing w:after="0" w:line="240" w:lineRule="auto"/>
        <w:ind w:firstLine="709"/>
        <w:jc w:val="both"/>
        <w:rPr>
          <w:rFonts w:eastAsia="Calibri"/>
          <w:sz w:val="24"/>
          <w:szCs w:val="24"/>
        </w:rPr>
      </w:pPr>
    </w:p>
    <w:p w:rsidR="00B26CEE" w:rsidRPr="00B26CEE" w:rsidRDefault="00B26CEE" w:rsidP="00B26CEE">
      <w:pPr>
        <w:spacing w:after="0" w:line="240" w:lineRule="auto"/>
        <w:ind w:firstLine="720"/>
        <w:jc w:val="both"/>
        <w:rPr>
          <w:sz w:val="24"/>
          <w:szCs w:val="24"/>
        </w:rPr>
      </w:pPr>
      <w:r w:rsidRPr="00B26CEE">
        <w:rPr>
          <w:sz w:val="24"/>
          <w:szCs w:val="24"/>
        </w:rPr>
        <w:t xml:space="preserve">У спеціальній літературі [4,11,12] довжина гребка розглядається як один із ключових показників технічної майстерності та економічності руху. Довша відстань на гребок асоціюється з більшою ефективністю та меншою частотою рухів, що забезпечує раціональний розподіл сил та менші внутрішньоциклові коливання швидкості. Для техніки «повного занурення» характерне саме збільшення довжини гребка за рахунок подовженого ковзання. Отримані  нами дані узгоджуються з теоретичною моделлю </w:t>
      </w:r>
      <w:bookmarkStart w:id="29" w:name="_Hlk223429614"/>
      <w:r w:rsidRPr="00B26CEE">
        <w:rPr>
          <w:sz w:val="24"/>
          <w:szCs w:val="24"/>
        </w:rPr>
        <w:t xml:space="preserve">техніки «повного занурення» </w:t>
      </w:r>
      <w:bookmarkEnd w:id="29"/>
      <w:r w:rsidRPr="00B26CEE">
        <w:rPr>
          <w:sz w:val="24"/>
          <w:szCs w:val="24"/>
        </w:rPr>
        <w:t>[13], яка робить акцент на балансі тіла та зниженні гідродинамічного опору.</w:t>
      </w:r>
    </w:p>
    <w:p w:rsidR="00B26CEE" w:rsidRPr="00B26CEE" w:rsidRDefault="00B26CEE" w:rsidP="00B26CEE">
      <w:pPr>
        <w:spacing w:after="0" w:line="240" w:lineRule="auto"/>
        <w:ind w:firstLine="720"/>
        <w:jc w:val="both"/>
        <w:rPr>
          <w:sz w:val="24"/>
          <w:szCs w:val="24"/>
        </w:rPr>
      </w:pPr>
      <w:r w:rsidRPr="00B26CEE">
        <w:rPr>
          <w:sz w:val="24"/>
          <w:szCs w:val="24"/>
        </w:rPr>
        <w:t xml:space="preserve">Частота гребків </w:t>
      </w:r>
      <w:bookmarkStart w:id="30" w:name="_Hlk223425656"/>
      <w:r w:rsidRPr="00B26CEE">
        <w:rPr>
          <w:sz w:val="24"/>
          <w:szCs w:val="24"/>
        </w:rPr>
        <w:t xml:space="preserve">у плаванні  методом «повного занурення» </w:t>
      </w:r>
      <w:bookmarkEnd w:id="30"/>
      <w:r w:rsidRPr="00B26CEE">
        <w:rPr>
          <w:sz w:val="24"/>
          <w:szCs w:val="24"/>
        </w:rPr>
        <w:t>зменшена більш ніж на 53% порівняно з класичним методом плавання. Це дуже суттєва відмінність; вона пояснюється свідомим зниженням темпу, подовженням циклу, переходом до енергоощадної моделі руху.</w:t>
      </w:r>
    </w:p>
    <w:p w:rsidR="00B26CEE" w:rsidRPr="00B26CEE" w:rsidRDefault="00B26CEE" w:rsidP="00B26CEE">
      <w:pPr>
        <w:spacing w:after="0" w:line="240" w:lineRule="auto"/>
        <w:ind w:firstLine="720"/>
        <w:jc w:val="both"/>
        <w:rPr>
          <w:sz w:val="24"/>
          <w:szCs w:val="24"/>
        </w:rPr>
      </w:pPr>
      <w:r w:rsidRPr="00B26CEE">
        <w:rPr>
          <w:sz w:val="24"/>
          <w:szCs w:val="24"/>
        </w:rPr>
        <w:t xml:space="preserve">У дослідженнях елітних плавців </w:t>
      </w:r>
      <w:r w:rsidRPr="00B26CEE">
        <w:rPr>
          <w:sz w:val="24"/>
          <w:szCs w:val="24"/>
          <w:lang w:val="ru-RU"/>
        </w:rPr>
        <w:t xml:space="preserve">[4,8] </w:t>
      </w:r>
      <w:r w:rsidRPr="00B26CEE">
        <w:rPr>
          <w:sz w:val="24"/>
          <w:szCs w:val="24"/>
        </w:rPr>
        <w:t>зазначається, що збільшення довжини гребка супроводжується зменшенням частоти при дистанційних режимах плавання.</w:t>
      </w:r>
      <w:r w:rsidRPr="00B26CEE">
        <w:rPr>
          <w:sz w:val="24"/>
          <w:szCs w:val="24"/>
          <w:lang w:val="ru-RU"/>
        </w:rPr>
        <w:t xml:space="preserve"> </w:t>
      </w:r>
      <w:r w:rsidRPr="00B26CEE">
        <w:rPr>
          <w:sz w:val="24"/>
          <w:szCs w:val="24"/>
        </w:rPr>
        <w:t xml:space="preserve">Однак така різка редукція кількості гребків за одиницю часу характерна більше для навчально-методичної або рекреаційної моделі, ніж для змагального темпу </w:t>
      </w:r>
      <w:r w:rsidRPr="00B26CEE">
        <w:rPr>
          <w:sz w:val="24"/>
          <w:szCs w:val="24"/>
          <w:lang w:val="ru-RU"/>
        </w:rPr>
        <w:t>[1,8]</w:t>
      </w:r>
      <w:r w:rsidRPr="00B26CEE">
        <w:rPr>
          <w:sz w:val="24"/>
          <w:szCs w:val="24"/>
        </w:rPr>
        <w:t>.</w:t>
      </w:r>
    </w:p>
    <w:p w:rsidR="00B26CEE" w:rsidRPr="00B26CEE" w:rsidRDefault="00B26CEE" w:rsidP="00B26CEE">
      <w:pPr>
        <w:spacing w:after="0" w:line="240" w:lineRule="auto"/>
        <w:ind w:firstLine="720"/>
        <w:jc w:val="both"/>
        <w:rPr>
          <w:sz w:val="24"/>
          <w:szCs w:val="24"/>
        </w:rPr>
      </w:pPr>
      <w:r w:rsidRPr="00B26CEE">
        <w:rPr>
          <w:sz w:val="24"/>
          <w:szCs w:val="24"/>
        </w:rPr>
        <w:t>Подовження циклу у плаванні  методом «повного занурення» до 2,59 с (що у 2,2 рази більше) є логічним наслідком зниження частоти гребків. Це свідчить про більшу тривалість ковзання, меншу піковість пропульсивних фаз, плавніший розподіл сил у циклі. З точки зору внутрішньоциклової варіації швидкості така модель потенційно знижує амплітуду коливань горизонтальної швидкості.</w:t>
      </w:r>
    </w:p>
    <w:p w:rsidR="00B26CEE" w:rsidRPr="00B26CEE" w:rsidRDefault="00B26CEE" w:rsidP="00B26CEE">
      <w:pPr>
        <w:spacing w:after="0" w:line="240" w:lineRule="auto"/>
        <w:ind w:firstLine="720"/>
        <w:jc w:val="both"/>
        <w:rPr>
          <w:sz w:val="24"/>
          <w:szCs w:val="24"/>
        </w:rPr>
      </w:pPr>
      <w:r w:rsidRPr="00B26CEE">
        <w:rPr>
          <w:sz w:val="24"/>
          <w:szCs w:val="24"/>
        </w:rPr>
        <w:t>Найважливіший показник – середня швидкість. Попри збільшення довжини гребка, середня швидкість зменшилася на 40,4%. Це свідчить, що зниження частоти перевищило позитивний ефект від збільшення довжини гребка; техніка реалізується в економічному, але не швидкісному режимі; модель більше відповідає енергоощадному, а не результативному плаванню.</w:t>
      </w:r>
      <w:r w:rsidRPr="00B26CEE">
        <w:rPr>
          <w:sz w:val="24"/>
          <w:szCs w:val="24"/>
          <w:lang w:val="ru-RU"/>
        </w:rPr>
        <w:t xml:space="preserve"> </w:t>
      </w:r>
      <w:r w:rsidRPr="00B26CEE">
        <w:rPr>
          <w:sz w:val="24"/>
          <w:szCs w:val="24"/>
        </w:rPr>
        <w:t xml:space="preserve">У спортивній літературі [4] вказується, що оптимальна швидкість є функцією співвідношення SL × SR. У проведеному нами дослідженні зниження частоти гребків є настільки значним, що компенсаторний ефект довжини </w:t>
      </w:r>
      <w:r w:rsidRPr="00B26CEE">
        <w:rPr>
          <w:sz w:val="24"/>
          <w:szCs w:val="24"/>
        </w:rPr>
        <w:lastRenderedPageBreak/>
        <w:t>гребка не забезпечує високої швидкості. У більшості наукових досліджень підкреслюється, що надмірне зниження частоти гребків може призводити до зменшення середньої швидкості, особливо у змагальних умовах. Отримані нами дані повністю підтверджують цю закономірність.</w:t>
      </w:r>
    </w:p>
    <w:p w:rsidR="00B26CEE" w:rsidRPr="00B26CEE" w:rsidRDefault="00B26CEE" w:rsidP="00B26CEE">
      <w:pPr>
        <w:spacing w:after="0" w:line="240" w:lineRule="auto"/>
        <w:ind w:firstLine="708"/>
        <w:jc w:val="both"/>
        <w:rPr>
          <w:rFonts w:eastAsia="Calibri"/>
          <w:sz w:val="24"/>
          <w:szCs w:val="24"/>
        </w:rPr>
      </w:pPr>
      <w:r w:rsidRPr="00B26CEE">
        <w:rPr>
          <w:rFonts w:eastAsia="Calibri"/>
          <w:sz w:val="24"/>
          <w:szCs w:val="24"/>
        </w:rPr>
        <w:t xml:space="preserve">Необхідно зауважити, що сумарний час повного циклу плавання кролем на грудях різними методами (1,19±0,10 с традиційним методом і 2,59±0,09 с – методом повного занурення), які ми порівнюємо, відрізняється більш ніж удвічі, зате результати порівняння таких показників гребка, як </w:t>
      </w:r>
      <w:r w:rsidRPr="00B26CEE">
        <w:rPr>
          <w:rFonts w:eastAsia="Calibri"/>
          <w:i/>
          <w:iCs/>
          <w:sz w:val="24"/>
          <w:szCs w:val="24"/>
        </w:rPr>
        <w:t>SL</w:t>
      </w:r>
      <w:r w:rsidRPr="00B26CEE">
        <w:rPr>
          <w:rFonts w:eastAsia="Calibri"/>
          <w:sz w:val="24"/>
          <w:szCs w:val="24"/>
        </w:rPr>
        <w:t xml:space="preserve">, </w:t>
      </w:r>
      <w:r w:rsidRPr="00B26CEE">
        <w:rPr>
          <w:rFonts w:eastAsia="Calibri"/>
          <w:i/>
          <w:iCs/>
          <w:sz w:val="24"/>
          <w:szCs w:val="24"/>
        </w:rPr>
        <w:t>SV</w:t>
      </w:r>
      <w:r w:rsidRPr="00B26CEE">
        <w:rPr>
          <w:rFonts w:eastAsia="Calibri"/>
          <w:sz w:val="24"/>
          <w:szCs w:val="24"/>
        </w:rPr>
        <w:t xml:space="preserve"> та </w:t>
      </w:r>
      <w:r w:rsidRPr="00B26CEE">
        <w:rPr>
          <w:rFonts w:eastAsia="Calibri"/>
          <w:i/>
          <w:iCs/>
          <w:sz w:val="24"/>
          <w:szCs w:val="24"/>
        </w:rPr>
        <w:t>SR</w:t>
      </w:r>
      <w:r w:rsidRPr="00B26CEE">
        <w:rPr>
          <w:rFonts w:eastAsia="Calibri"/>
          <w:sz w:val="24"/>
          <w:szCs w:val="24"/>
        </w:rPr>
        <w:t xml:space="preserve"> при плаванні традиційним методом (1,85±0,09 м; 1,56±0,07 м·с</w:t>
      </w:r>
      <w:r w:rsidRPr="00B26CEE">
        <w:rPr>
          <w:rFonts w:eastAsia="Calibri"/>
          <w:sz w:val="24"/>
          <w:szCs w:val="24"/>
          <w:vertAlign w:val="superscript"/>
        </w:rPr>
        <w:t>-1</w:t>
      </w:r>
      <w:r w:rsidRPr="00B26CEE">
        <w:rPr>
          <w:rFonts w:eastAsia="Calibri"/>
          <w:sz w:val="24"/>
          <w:szCs w:val="24"/>
        </w:rPr>
        <w:t xml:space="preserve"> та 50,40±0,30 цикл·хв</w:t>
      </w:r>
      <w:r w:rsidRPr="00B26CEE">
        <w:rPr>
          <w:rFonts w:eastAsia="Calibri"/>
          <w:sz w:val="24"/>
          <w:szCs w:val="24"/>
          <w:vertAlign w:val="superscript"/>
        </w:rPr>
        <w:t>-1</w:t>
      </w:r>
      <w:r w:rsidRPr="00B26CEE">
        <w:rPr>
          <w:rFonts w:eastAsia="Calibri"/>
          <w:sz w:val="24"/>
          <w:szCs w:val="24"/>
        </w:rPr>
        <w:t>) і методом «повного занурення» (2,36±0,07 м;  0,93±0,02 м·с</w:t>
      </w:r>
      <w:r w:rsidRPr="00B26CEE">
        <w:rPr>
          <w:rFonts w:eastAsia="Calibri"/>
          <w:sz w:val="24"/>
          <w:szCs w:val="24"/>
          <w:vertAlign w:val="superscript"/>
        </w:rPr>
        <w:t>-1</w:t>
      </w:r>
      <w:r w:rsidRPr="00B26CEE">
        <w:rPr>
          <w:rFonts w:eastAsia="Calibri"/>
          <w:sz w:val="24"/>
          <w:szCs w:val="24"/>
        </w:rPr>
        <w:t xml:space="preserve"> та 23,65±0,38 цикл·хв</w:t>
      </w:r>
      <w:r w:rsidRPr="00B26CEE">
        <w:rPr>
          <w:rFonts w:eastAsia="Calibri"/>
          <w:sz w:val="24"/>
          <w:szCs w:val="24"/>
          <w:vertAlign w:val="superscript"/>
        </w:rPr>
        <w:t>-1</w:t>
      </w:r>
      <w:r w:rsidRPr="00B26CEE">
        <w:rPr>
          <w:rFonts w:eastAsia="Calibri"/>
          <w:sz w:val="24"/>
          <w:szCs w:val="24"/>
        </w:rPr>
        <w:t>) вказують, що у випадку використання методу «повного занурення» навіть при меншій середній швидкості плавання на 40,39% довжина гребка є більшою на 21,61%, а частота гребків менша більш ніж удвічі – на 53,08%.</w:t>
      </w:r>
    </w:p>
    <w:p w:rsidR="00B26CEE" w:rsidRPr="00B26CEE" w:rsidRDefault="00B26CEE" w:rsidP="00B26CEE">
      <w:pPr>
        <w:spacing w:after="0" w:line="240" w:lineRule="auto"/>
        <w:ind w:firstLine="708"/>
        <w:jc w:val="both"/>
        <w:rPr>
          <w:rFonts w:ascii="Calibri" w:eastAsia="Calibri" w:hAnsi="Calibri"/>
          <w:sz w:val="24"/>
          <w:szCs w:val="24"/>
        </w:rPr>
      </w:pPr>
      <w:r w:rsidRPr="00B26CEE">
        <w:rPr>
          <w:rFonts w:eastAsia="Calibri"/>
          <w:sz w:val="24"/>
          <w:szCs w:val="24"/>
        </w:rPr>
        <w:t xml:space="preserve">Таким чином, наші дані свідчать, </w:t>
      </w:r>
      <w:bookmarkStart w:id="31" w:name="_Hlk223426628"/>
      <w:r w:rsidRPr="00B26CEE">
        <w:rPr>
          <w:rFonts w:eastAsia="Calibri"/>
          <w:sz w:val="24"/>
          <w:szCs w:val="24"/>
        </w:rPr>
        <w:t xml:space="preserve">що при використанні техніки «повного занурення» відбулося збільшення довжини гребка, зменшення частоти, підвищення економічності, зменшення гідродинамічного опору, спостерігається більш стабільний профіль швидкості. </w:t>
      </w:r>
      <w:bookmarkEnd w:id="31"/>
      <w:r w:rsidRPr="00B26CEE">
        <w:rPr>
          <w:rFonts w:eastAsia="Calibri"/>
          <w:sz w:val="24"/>
          <w:szCs w:val="24"/>
        </w:rPr>
        <w:t>Отже, з біомеханічної точки зору можна стверджувати, що техніка «повного занурення» є більш економічною та енергоощадною. З позиції досягнення максимальної швидкості традиційний варіант є ефективнішим. Найвищий результат може бути досягнутий за умов оптимального поєднання збільшеної довжини гребка з помірним рівнем частоти, а не її радикального зниження.</w:t>
      </w:r>
    </w:p>
    <w:p w:rsidR="00B26CEE" w:rsidRPr="00B26CEE" w:rsidRDefault="00B26CEE" w:rsidP="00B26CEE">
      <w:pPr>
        <w:spacing w:after="0" w:line="240" w:lineRule="auto"/>
        <w:ind w:firstLine="709"/>
        <w:jc w:val="both"/>
        <w:rPr>
          <w:rFonts w:eastAsia="Calibri"/>
          <w:sz w:val="24"/>
          <w:szCs w:val="24"/>
        </w:rPr>
      </w:pPr>
      <w:r w:rsidRPr="00B26CEE">
        <w:rPr>
          <w:rFonts w:eastAsia="Calibri"/>
          <w:sz w:val="24"/>
          <w:szCs w:val="24"/>
        </w:rPr>
        <w:t xml:space="preserve">Ураховуючи, що нами порівнювались характеристики плавання кролем на грудях традиційним методом і методом повного занурення у різних режимах (традиційним кролем </w:t>
      </w:r>
      <w:r w:rsidRPr="00B26CEE">
        <w:rPr>
          <w:rFonts w:eastAsia="Calibri"/>
          <w:bCs/>
          <w:sz w:val="24"/>
          <w:szCs w:val="24"/>
          <w:bdr w:val="none" w:sz="0" w:space="0" w:color="auto" w:frame="1"/>
        </w:rPr>
        <w:t xml:space="preserve">спортсменки </w:t>
      </w:r>
      <w:r w:rsidRPr="00B26CEE">
        <w:rPr>
          <w:rFonts w:eastAsia="Calibri"/>
          <w:sz w:val="24"/>
          <w:szCs w:val="24"/>
        </w:rPr>
        <w:t>віком 18,2±4,6 років з найкращим результатом у плаванні кролем на 100 м у 50-метровому басейні 63,32±2,27 с)</w:t>
      </w:r>
      <w:r w:rsidRPr="00B26CEE">
        <w:rPr>
          <w:rFonts w:eastAsia="Calibri"/>
          <w:bCs/>
          <w:sz w:val="24"/>
          <w:szCs w:val="24"/>
          <w:bdr w:val="none" w:sz="0" w:space="0" w:color="auto" w:frame="1"/>
        </w:rPr>
        <w:t xml:space="preserve"> долали дистанцію 25 м з максимальною інтенсивністю [10], а кролем методом «повного занурення» дистанцію 25 м плавчиня долала десятиразово у рекреаційному темпі), описані вище результати дають лише якісну оцінку і вимагають подальшого підтвердження у педагогічних експериментах при умові залучення до них плавців однакової кваліфікації, на різних дистанціях та в однакових режимах.</w:t>
      </w:r>
    </w:p>
    <w:p w:rsidR="00B26CEE" w:rsidRPr="00B26CEE" w:rsidRDefault="00B26CEE" w:rsidP="00B26CEE">
      <w:pPr>
        <w:spacing w:after="0" w:line="240" w:lineRule="auto"/>
        <w:ind w:firstLine="709"/>
        <w:jc w:val="both"/>
        <w:rPr>
          <w:rFonts w:eastAsia="Calibri"/>
          <w:sz w:val="24"/>
          <w:szCs w:val="24"/>
        </w:rPr>
      </w:pPr>
      <w:r w:rsidRPr="00B26CEE">
        <w:rPr>
          <w:rFonts w:eastAsia="Calibri"/>
          <w:sz w:val="24"/>
          <w:szCs w:val="24"/>
        </w:rPr>
        <w:t>Для подальшого об’єктивного підтвердження вищої ефективності плавання кролем на грудях методом повного занурення порівняно з плаванням традиційним кролем доцільно детально проаналізувати біомеханічні особливості рухової діяльності плавців при застосуванні методу повного занурення.</w:t>
      </w:r>
    </w:p>
    <w:p w:rsidR="00B26CEE" w:rsidRPr="00B26CEE" w:rsidRDefault="00B26CEE" w:rsidP="00B26CEE">
      <w:pPr>
        <w:spacing w:after="0" w:line="240" w:lineRule="auto"/>
        <w:ind w:firstLine="709"/>
        <w:jc w:val="both"/>
        <w:rPr>
          <w:rFonts w:eastAsia="Calibri"/>
          <w:sz w:val="24"/>
          <w:szCs w:val="24"/>
        </w:rPr>
      </w:pPr>
      <w:r w:rsidRPr="00B26CEE">
        <w:rPr>
          <w:rFonts w:eastAsia="Calibri"/>
          <w:b/>
          <w:bCs/>
          <w:sz w:val="24"/>
          <w:szCs w:val="24"/>
        </w:rPr>
        <w:t>Дискусія</w:t>
      </w:r>
      <w:r w:rsidRPr="00B26CEE">
        <w:rPr>
          <w:rFonts w:eastAsia="Calibri"/>
          <w:sz w:val="24"/>
          <w:szCs w:val="24"/>
        </w:rPr>
        <w:t>. Порівняння отриманих даних із результатами наукових досліджень</w:t>
      </w:r>
      <w:bookmarkStart w:id="32" w:name="_Hlk223427129"/>
      <w:r w:rsidRPr="00B26CEE">
        <w:rPr>
          <w:rFonts w:eastAsia="Calibri"/>
          <w:sz w:val="24"/>
          <w:szCs w:val="24"/>
        </w:rPr>
        <w:t xml:space="preserve"> техніки плавання кролем на грудях свідчить про суттєву перебудову структури рухового циклу та кінематичних характеристик при використанні техніки «повного занурення».</w:t>
      </w:r>
    </w:p>
    <w:bookmarkEnd w:id="32"/>
    <w:p w:rsidR="00B26CEE" w:rsidRPr="00B26CEE" w:rsidRDefault="00B26CEE" w:rsidP="00B26CEE">
      <w:pPr>
        <w:spacing w:after="0" w:line="240" w:lineRule="auto"/>
        <w:ind w:firstLine="720"/>
        <w:jc w:val="both"/>
        <w:rPr>
          <w:sz w:val="24"/>
          <w:szCs w:val="24"/>
        </w:rPr>
      </w:pPr>
      <w:r w:rsidRPr="00B26CEE">
        <w:rPr>
          <w:sz w:val="24"/>
          <w:szCs w:val="24"/>
        </w:rPr>
        <w:t>У нашому дослідженні довжина гребка становила 2,36±0,07 м, що на 21,61% перевищує показники, наведені в літературі (1,85±0,09 м). Згідно з узагальненими біомеханічними дослідженнями [1,2,4], збільшення довжини гребка розглядається як маркер технічної майстерності та економічності плавання. Елітні дистанційні плавці демонструють тенденцію до підвищення довжини гребка при зменшенні частоти, що дозволяє знижувати енергетичні витрати. Таким чином, отримані результати узгоджуються з положеннями літератури щодо гідродинамічної раціоналізації техніки.</w:t>
      </w:r>
    </w:p>
    <w:p w:rsidR="00B26CEE" w:rsidRPr="00B26CEE" w:rsidRDefault="00B26CEE" w:rsidP="00B26CEE">
      <w:pPr>
        <w:spacing w:after="0" w:line="240" w:lineRule="auto"/>
        <w:ind w:firstLine="720"/>
        <w:jc w:val="both"/>
        <w:rPr>
          <w:sz w:val="24"/>
          <w:szCs w:val="24"/>
        </w:rPr>
      </w:pPr>
      <w:r w:rsidRPr="00B26CEE">
        <w:rPr>
          <w:sz w:val="24"/>
          <w:szCs w:val="24"/>
        </w:rPr>
        <w:t>Частота гребків під час плавання методом «повного занурення» (23,65 цикл·хв</w:t>
      </w:r>
      <w:r w:rsidRPr="00B26CEE">
        <w:rPr>
          <w:sz w:val="24"/>
          <w:szCs w:val="24"/>
          <w:vertAlign w:val="superscript"/>
        </w:rPr>
        <w:t>-1</w:t>
      </w:r>
      <w:r w:rsidRPr="00B26CEE">
        <w:rPr>
          <w:sz w:val="24"/>
          <w:szCs w:val="24"/>
        </w:rPr>
        <w:t>) майже вдвічі нижча за дані літератури (50,40 цикл·хв</w:t>
      </w:r>
      <w:r w:rsidRPr="00B26CEE">
        <w:rPr>
          <w:sz w:val="24"/>
          <w:szCs w:val="24"/>
          <w:vertAlign w:val="superscript"/>
        </w:rPr>
        <w:t>-1</w:t>
      </w:r>
      <w:r w:rsidRPr="00B26CEE">
        <w:rPr>
          <w:sz w:val="24"/>
          <w:szCs w:val="24"/>
        </w:rPr>
        <w:t xml:space="preserve">), що зумовило подовження тривалості циклу до 2,59 с проти 1,19 с. За даними [6,8], оптимальна швидкість у кролі визначається балансом між довжиною та частотою гребка. Надмірне зниження частоти гребків може призводити до зменшення середньої швидкості навіть при збільшенні </w:t>
      </w:r>
      <w:r w:rsidRPr="00B26CEE">
        <w:rPr>
          <w:sz w:val="24"/>
          <w:szCs w:val="24"/>
        </w:rPr>
        <w:lastRenderedPageBreak/>
        <w:t>довжини гребка. Отримані нами результати підтверджують цю закономірність: значне зменшення частоти не було компенсоване збільшенням довжини гребка.</w:t>
      </w:r>
    </w:p>
    <w:p w:rsidR="00B26CEE" w:rsidRPr="00B26CEE" w:rsidRDefault="00B26CEE" w:rsidP="00B26CEE">
      <w:pPr>
        <w:spacing w:after="0" w:line="240" w:lineRule="auto"/>
        <w:ind w:firstLine="720"/>
        <w:jc w:val="both"/>
        <w:rPr>
          <w:sz w:val="24"/>
          <w:szCs w:val="24"/>
        </w:rPr>
      </w:pPr>
      <w:r w:rsidRPr="00B26CEE">
        <w:rPr>
          <w:sz w:val="24"/>
          <w:szCs w:val="24"/>
        </w:rPr>
        <w:t>Середня швидкість у нашому дослідженні становила 0,93±0,02 м·с</w:t>
      </w:r>
      <w:r w:rsidRPr="00B26CEE">
        <w:rPr>
          <w:sz w:val="24"/>
          <w:szCs w:val="24"/>
          <w:vertAlign w:val="superscript"/>
        </w:rPr>
        <w:t>-1</w:t>
      </w:r>
      <w:r w:rsidRPr="00B26CEE">
        <w:rPr>
          <w:sz w:val="24"/>
          <w:szCs w:val="24"/>
        </w:rPr>
        <w:t>, що на 40,39% нижче за значення літератури (1,56±0,07 м·с</w:t>
      </w:r>
      <w:r w:rsidRPr="00B26CEE">
        <w:rPr>
          <w:sz w:val="24"/>
          <w:szCs w:val="24"/>
          <w:vertAlign w:val="superscript"/>
        </w:rPr>
        <w:t>-1</w:t>
      </w:r>
      <w:r w:rsidRPr="00B26CEE">
        <w:rPr>
          <w:sz w:val="24"/>
          <w:szCs w:val="24"/>
        </w:rPr>
        <w:t xml:space="preserve">). Згідно з роботами </w:t>
      </w:r>
      <w:r w:rsidRPr="00B26CEE">
        <w:rPr>
          <w:sz w:val="24"/>
          <w:szCs w:val="24"/>
          <w:lang w:val="ru-RU"/>
        </w:rPr>
        <w:t>[7,1</w:t>
      </w:r>
      <w:r w:rsidRPr="00B26CEE">
        <w:rPr>
          <w:sz w:val="24"/>
          <w:szCs w:val="24"/>
        </w:rPr>
        <w:t>4</w:t>
      </w:r>
      <w:r w:rsidRPr="00B26CEE">
        <w:rPr>
          <w:sz w:val="24"/>
          <w:szCs w:val="24"/>
          <w:lang w:val="ru-RU"/>
        </w:rPr>
        <w:t>]</w:t>
      </w:r>
      <w:r w:rsidRPr="00B26CEE">
        <w:rPr>
          <w:sz w:val="24"/>
          <w:szCs w:val="24"/>
        </w:rPr>
        <w:t>, швидкість плавання є інтегральним показником взаємодії пропульсивних сил і гідродинамічного опору. Хоча техніка «повного занурення» сприяє зниженню опору, її реалізація у повільнішому темпі зменшує загальний результативний ефект.</w:t>
      </w:r>
      <w:r w:rsidRPr="00B26CEE">
        <w:rPr>
          <w:sz w:val="24"/>
          <w:szCs w:val="24"/>
          <w:lang w:val="ru-RU"/>
        </w:rPr>
        <w:t xml:space="preserve"> </w:t>
      </w:r>
      <w:r w:rsidRPr="00B26CEE">
        <w:rPr>
          <w:sz w:val="24"/>
          <w:szCs w:val="24"/>
        </w:rPr>
        <w:t>Отже, зниження швидкості в нашому дослідженні відповідає теоретичним уявленням про компроміс між економічністю та результативністю.</w:t>
      </w:r>
    </w:p>
    <w:p w:rsidR="00B26CEE" w:rsidRPr="00B26CEE" w:rsidRDefault="00B26CEE" w:rsidP="00B26CEE">
      <w:pPr>
        <w:spacing w:after="0" w:line="240" w:lineRule="auto"/>
        <w:ind w:firstLine="720"/>
        <w:jc w:val="both"/>
        <w:outlineLvl w:val="0"/>
        <w:rPr>
          <w:sz w:val="24"/>
          <w:szCs w:val="24"/>
        </w:rPr>
      </w:pPr>
      <w:r w:rsidRPr="00B26CEE">
        <w:rPr>
          <w:b/>
          <w:bCs/>
          <w:sz w:val="24"/>
          <w:szCs w:val="24"/>
        </w:rPr>
        <w:t xml:space="preserve">Висновки. </w:t>
      </w:r>
      <w:r w:rsidRPr="00B26CEE">
        <w:rPr>
          <w:sz w:val="24"/>
          <w:szCs w:val="24"/>
        </w:rPr>
        <w:t>Отримані показники довжини гребка та фазової структури узгоджуються з сучасними біомеханічними моделями економічного плавання. Значне зниження частоти гребків зумовило зменшення середньої швидкості, що підтверджує встановлений у літературі принцип оптимального співвідношення SL–SR. Техніка «повного занурення» демонструє підвищену гідродинамічну раціональність, але поступається традиційній моделі у швидкісному аспекті.</w:t>
      </w:r>
    </w:p>
    <w:p w:rsidR="00B26CEE" w:rsidRPr="00B26CEE" w:rsidRDefault="00B26CEE" w:rsidP="00B26CEE">
      <w:pPr>
        <w:spacing w:after="0" w:line="240" w:lineRule="auto"/>
        <w:ind w:firstLine="709"/>
        <w:jc w:val="both"/>
        <w:rPr>
          <w:sz w:val="24"/>
          <w:szCs w:val="24"/>
        </w:rPr>
      </w:pPr>
      <w:r w:rsidRPr="00B26CEE">
        <w:rPr>
          <w:sz w:val="24"/>
          <w:szCs w:val="24"/>
        </w:rPr>
        <w:t>Відсутність прямих порівняльних біомеханічних досліджень техніки ужиткового плавання методом «повного занурення» та класичного кроля в однакових експериментальних умовах обґрунтовує подальші пошуки в цьому напрямі.</w:t>
      </w:r>
    </w:p>
    <w:p w:rsidR="00B26CEE" w:rsidRPr="00B26CEE" w:rsidRDefault="00B26CEE" w:rsidP="00B26CEE">
      <w:pPr>
        <w:spacing w:after="0" w:line="240" w:lineRule="auto"/>
        <w:jc w:val="center"/>
        <w:rPr>
          <w:b/>
          <w:bCs/>
          <w:sz w:val="24"/>
          <w:szCs w:val="24"/>
        </w:rPr>
      </w:pPr>
    </w:p>
    <w:p w:rsidR="00B26CEE" w:rsidRPr="00DA6CC0" w:rsidRDefault="00B26CEE" w:rsidP="00B26CEE">
      <w:pPr>
        <w:spacing w:after="0" w:line="240" w:lineRule="auto"/>
        <w:jc w:val="center"/>
        <w:rPr>
          <w:b/>
          <w:bCs/>
          <w:sz w:val="20"/>
          <w:szCs w:val="24"/>
        </w:rPr>
      </w:pPr>
      <w:r w:rsidRPr="00DA6CC0">
        <w:rPr>
          <w:b/>
          <w:bCs/>
          <w:sz w:val="20"/>
          <w:szCs w:val="24"/>
        </w:rPr>
        <w:t>Список використаних джерел</w:t>
      </w:r>
    </w:p>
    <w:p w:rsidR="00B26CEE" w:rsidRPr="00B26CEE" w:rsidRDefault="00B26CEE" w:rsidP="00B26CEE">
      <w:pPr>
        <w:numPr>
          <w:ilvl w:val="0"/>
          <w:numId w:val="7"/>
        </w:numPr>
        <w:spacing w:after="0" w:line="240" w:lineRule="auto"/>
        <w:ind w:left="0" w:firstLine="0"/>
        <w:contextualSpacing/>
        <w:jc w:val="both"/>
        <w:rPr>
          <w:sz w:val="20"/>
          <w:szCs w:val="20"/>
        </w:rPr>
      </w:pPr>
      <w:bookmarkStart w:id="33" w:name="_Hlk223436159"/>
      <w:bookmarkStart w:id="34" w:name="_Hlk223436092"/>
      <w:r w:rsidRPr="00B26CEE">
        <w:rPr>
          <w:sz w:val="20"/>
          <w:szCs w:val="20"/>
        </w:rPr>
        <w:t xml:space="preserve">Toussaint HM, Beek PJ. </w:t>
      </w:r>
      <w:bookmarkEnd w:id="33"/>
      <w:r w:rsidRPr="00B26CEE">
        <w:rPr>
          <w:sz w:val="20"/>
          <w:szCs w:val="20"/>
        </w:rPr>
        <w:t xml:space="preserve">Biomechanics of competitive front crawl swimming. Sports Med. 1992;13(1):8-24. </w:t>
      </w:r>
      <w:hyperlink r:id="rId67" w:history="1">
        <w:r w:rsidR="00DA6CC0" w:rsidRPr="00646581">
          <w:rPr>
            <w:rStyle w:val="af3"/>
            <w:sz w:val="20"/>
            <w:szCs w:val="20"/>
          </w:rPr>
          <w:t>https://doi.org/10.2165/00007256-199213010-00002</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35" w:name="_Hlk223436171"/>
      <w:bookmarkEnd w:id="34"/>
      <w:r w:rsidRPr="00B26CEE">
        <w:rPr>
          <w:sz w:val="20"/>
          <w:szCs w:val="20"/>
        </w:rPr>
        <w:t xml:space="preserve">Takagi H, Nakashima M, Sengoku Y, Tsunokawa T, Koga D, Narita K, et al. </w:t>
      </w:r>
      <w:bookmarkEnd w:id="35"/>
      <w:r w:rsidRPr="00B26CEE">
        <w:rPr>
          <w:sz w:val="20"/>
          <w:szCs w:val="20"/>
        </w:rPr>
        <w:t xml:space="preserve">How do swimmers control their front crawl swimming velocity? Current knowledge and gaps from hydrodynamic perspectives. Sports Biomech. 2023;22(12):1552-71. </w:t>
      </w:r>
      <w:hyperlink r:id="rId68" w:history="1">
        <w:r w:rsidR="00DA6CC0" w:rsidRPr="00646581">
          <w:rPr>
            <w:rStyle w:val="af3"/>
            <w:sz w:val="20"/>
            <w:szCs w:val="20"/>
          </w:rPr>
          <w:t>https://doi.org/10.1080/14763141.2021.1959946</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r w:rsidRPr="00B26CEE">
        <w:rPr>
          <w:sz w:val="20"/>
          <w:szCs w:val="20"/>
        </w:rPr>
        <w:t xml:space="preserve">Morais J, Barbosa TM, Lopes T, et al. Analysis of upper limb propulsion in young swimmers in front-crawl through statistical parametric mapping. J Biomech. 2023;159:111792. </w:t>
      </w:r>
      <w:hyperlink r:id="rId69" w:history="1">
        <w:r w:rsidR="00DA6CC0" w:rsidRPr="00646581">
          <w:rPr>
            <w:rStyle w:val="af3"/>
            <w:sz w:val="20"/>
            <w:szCs w:val="20"/>
          </w:rPr>
          <w:t>https://doi.org/10.1016/j.jbiomech.2023.111792</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36" w:name="_Hlk223436185"/>
      <w:bookmarkStart w:id="37" w:name="_Hlk223435989"/>
      <w:r w:rsidRPr="00B26CEE">
        <w:rPr>
          <w:sz w:val="20"/>
          <w:szCs w:val="20"/>
        </w:rPr>
        <w:t xml:space="preserve">Craig AB Jr, Pendergast DR. </w:t>
      </w:r>
      <w:bookmarkEnd w:id="36"/>
      <w:r w:rsidRPr="00B26CEE">
        <w:rPr>
          <w:sz w:val="20"/>
          <w:szCs w:val="20"/>
        </w:rPr>
        <w:t xml:space="preserve">Relationships of stroke rate, distance per stroke, and velocity in competitive swimming. Med Sci Sports. 1979;11(3):278-83. </w:t>
      </w:r>
      <w:hyperlink r:id="rId70" w:history="1">
        <w:r w:rsidR="00DA6CC0" w:rsidRPr="00646581">
          <w:rPr>
            <w:rStyle w:val="af3"/>
            <w:sz w:val="20"/>
            <w:szCs w:val="20"/>
          </w:rPr>
          <w:t>https://doi.org/10.1249/00005768-197923000-00007</w:t>
        </w:r>
      </w:hyperlink>
      <w:r w:rsidR="00DA6CC0">
        <w:rPr>
          <w:sz w:val="20"/>
          <w:szCs w:val="20"/>
        </w:rPr>
        <w:t xml:space="preserve"> </w:t>
      </w:r>
      <w:r w:rsidRPr="00B26CEE">
        <w:rPr>
          <w:sz w:val="20"/>
          <w:szCs w:val="20"/>
        </w:rPr>
        <w:t>.</w:t>
      </w:r>
    </w:p>
    <w:bookmarkEnd w:id="37"/>
    <w:p w:rsidR="00B26CEE" w:rsidRPr="00B26CEE" w:rsidRDefault="00B26CEE" w:rsidP="00B26CEE">
      <w:pPr>
        <w:numPr>
          <w:ilvl w:val="0"/>
          <w:numId w:val="7"/>
        </w:numPr>
        <w:spacing w:after="0" w:line="240" w:lineRule="auto"/>
        <w:ind w:left="0" w:firstLine="0"/>
        <w:contextualSpacing/>
        <w:jc w:val="both"/>
        <w:rPr>
          <w:sz w:val="20"/>
          <w:szCs w:val="20"/>
        </w:rPr>
      </w:pPr>
      <w:r w:rsidRPr="00B26CEE">
        <w:rPr>
          <w:sz w:val="20"/>
          <w:szCs w:val="20"/>
        </w:rPr>
        <w:t xml:space="preserve">Barbosa TM, Keskinen KL, Fernandes R, Colaço P, Lima AB, Vilas-Boas JP. Energy cost and intracyclic variation of the velocity of the centre of mass in front crawl. Eur J Appl Physiol. 2005;93(5-6):519-23. </w:t>
      </w:r>
      <w:hyperlink r:id="rId71" w:history="1">
        <w:r w:rsidR="00DA6CC0" w:rsidRPr="00646581">
          <w:rPr>
            <w:rStyle w:val="af3"/>
            <w:sz w:val="20"/>
            <w:szCs w:val="20"/>
          </w:rPr>
          <w:t>https://doi.org/10.1007/s00421-004-1251-4</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38" w:name="_Hlk223436208"/>
      <w:r w:rsidRPr="00B26CEE">
        <w:rPr>
          <w:sz w:val="20"/>
          <w:szCs w:val="20"/>
        </w:rPr>
        <w:t xml:space="preserve">Psycharakis SG, Sanders RH. Shoulder and hip roll changes during 200-m front crawl swimming. Med Sci Sports Exerc. 2009;41(11):2129-36. </w:t>
      </w:r>
      <w:hyperlink r:id="rId72" w:history="1">
        <w:r w:rsidR="00DA6CC0" w:rsidRPr="00646581">
          <w:rPr>
            <w:rStyle w:val="af3"/>
            <w:sz w:val="20"/>
            <w:szCs w:val="20"/>
          </w:rPr>
          <w:t>https://doi.org/10.1249/MSS.0b013e3181a7d406</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39" w:name="_Hlk223436244"/>
      <w:bookmarkEnd w:id="38"/>
      <w:r w:rsidRPr="00B26CEE">
        <w:rPr>
          <w:sz w:val="20"/>
          <w:szCs w:val="20"/>
        </w:rPr>
        <w:t xml:space="preserve">Toussaint HM, Truijens MJ, Elzinga MJ, van de Ven A, de Best H, Snabel B, et al. Effect of a fast-skin body suit on drag during front crawl swimming. Sports Biomech. 2002;1(1):1-10. </w:t>
      </w:r>
      <w:hyperlink r:id="rId73" w:history="1">
        <w:r w:rsidR="00DA6CC0" w:rsidRPr="00646581">
          <w:rPr>
            <w:rStyle w:val="af3"/>
            <w:sz w:val="20"/>
            <w:szCs w:val="20"/>
          </w:rPr>
          <w:t>https://doi.org/10.1080/14763140208522784</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40" w:name="_Hlk223436062"/>
      <w:bookmarkEnd w:id="39"/>
      <w:r w:rsidRPr="00B26CEE">
        <w:rPr>
          <w:sz w:val="20"/>
          <w:szCs w:val="20"/>
        </w:rPr>
        <w:t xml:space="preserve">Seifert L, Chollet D, Rouard A. Swimming constraints and arm coordination. Hum Mov Sci. 2007;26(1):68-86. </w:t>
      </w:r>
      <w:hyperlink r:id="rId74" w:history="1">
        <w:r w:rsidR="00DA6CC0" w:rsidRPr="00646581">
          <w:rPr>
            <w:rStyle w:val="af3"/>
            <w:sz w:val="20"/>
            <w:szCs w:val="20"/>
          </w:rPr>
          <w:t>https://doi.org/10.1016/j.humov.2006.09.003</w:t>
        </w:r>
      </w:hyperlink>
      <w:r w:rsidR="00DA6CC0">
        <w:rPr>
          <w:sz w:val="20"/>
          <w:szCs w:val="20"/>
        </w:rPr>
        <w:t xml:space="preserve"> </w:t>
      </w:r>
      <w:r w:rsidRPr="00B26CEE">
        <w:rPr>
          <w:sz w:val="20"/>
          <w:szCs w:val="20"/>
        </w:rPr>
        <w:t>.</w:t>
      </w:r>
    </w:p>
    <w:bookmarkEnd w:id="40"/>
    <w:p w:rsidR="00B26CEE" w:rsidRPr="00B26CEE" w:rsidRDefault="00B26CEE" w:rsidP="00B26CEE">
      <w:pPr>
        <w:numPr>
          <w:ilvl w:val="0"/>
          <w:numId w:val="7"/>
        </w:numPr>
        <w:spacing w:after="0" w:line="240" w:lineRule="auto"/>
        <w:ind w:left="0" w:firstLine="0"/>
        <w:contextualSpacing/>
        <w:jc w:val="both"/>
        <w:rPr>
          <w:sz w:val="20"/>
          <w:szCs w:val="20"/>
        </w:rPr>
      </w:pPr>
      <w:r w:rsidRPr="00B26CEE">
        <w:rPr>
          <w:sz w:val="20"/>
          <w:szCs w:val="20"/>
        </w:rPr>
        <w:t xml:space="preserve">Рибак О, Крефт П, Рибак Л. Біомеханічний аналіз плавання кролем на грудях методом повного занурення. Педагогічна Академія: наукові записки. 2025;(20):1-28. </w:t>
      </w:r>
      <w:hyperlink r:id="rId75" w:history="1">
        <w:r w:rsidR="00DA6CC0" w:rsidRPr="00646581">
          <w:rPr>
            <w:rStyle w:val="af3"/>
            <w:sz w:val="20"/>
            <w:szCs w:val="20"/>
          </w:rPr>
          <w:t>https://doi.org/10.5281/zenodo.16744099</w:t>
        </w:r>
      </w:hyperlink>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41" w:name="_Hlk223436127"/>
      <w:r w:rsidRPr="00B26CEE">
        <w:rPr>
          <w:sz w:val="20"/>
          <w:szCs w:val="20"/>
        </w:rPr>
        <w:t xml:space="preserve">Gourgoulis V, Antoniou P, Aggeloussis N, et al. Kinematic characteristics of the stroke and orientation of the hand during front crawl resisted swimming. J Sports Sci. 2010;28(11):1165-73. </w:t>
      </w:r>
      <w:hyperlink r:id="rId76" w:history="1">
        <w:r w:rsidR="00DA6CC0" w:rsidRPr="00646581">
          <w:rPr>
            <w:rStyle w:val="af3"/>
            <w:sz w:val="20"/>
            <w:szCs w:val="20"/>
          </w:rPr>
          <w:t>https://doi.org/10.1080/02640414.2010.507251</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42" w:name="_Hlk223436254"/>
      <w:bookmarkStart w:id="43" w:name="_Hlk223435978"/>
      <w:bookmarkEnd w:id="41"/>
      <w:r w:rsidRPr="00B26CEE">
        <w:rPr>
          <w:sz w:val="20"/>
          <w:szCs w:val="20"/>
        </w:rPr>
        <w:t xml:space="preserve">Guedes J, Zacca R, de Souza Castro F. Swimming front crawl in pool and open water: comparisons of kinematics, arm-stroke efficiency, and internal load in a 2 km test. Rev Port Cien Desporto. 2024;24:68-83. </w:t>
      </w:r>
      <w:hyperlink r:id="rId77" w:history="1">
        <w:r w:rsidR="00DA6CC0" w:rsidRPr="00646581">
          <w:rPr>
            <w:rStyle w:val="af3"/>
            <w:sz w:val="20"/>
            <w:szCs w:val="20"/>
          </w:rPr>
          <w:t>https://doi.org/10.5628/rpcd.24.01.68</w:t>
        </w:r>
      </w:hyperlink>
      <w:r w:rsidR="00DA6CC0">
        <w:rPr>
          <w:sz w:val="20"/>
          <w:szCs w:val="20"/>
        </w:rPr>
        <w:t xml:space="preserve"> </w:t>
      </w:r>
      <w:r w:rsidRPr="00B26CEE">
        <w:rPr>
          <w:sz w:val="20"/>
          <w:szCs w:val="20"/>
        </w:rPr>
        <w:t>.</w:t>
      </w:r>
    </w:p>
    <w:bookmarkEnd w:id="42"/>
    <w:p w:rsidR="00B26CEE" w:rsidRPr="00B26CEE" w:rsidRDefault="00B26CEE" w:rsidP="00B26CEE">
      <w:pPr>
        <w:numPr>
          <w:ilvl w:val="0"/>
          <w:numId w:val="7"/>
        </w:numPr>
        <w:spacing w:after="0" w:line="240" w:lineRule="auto"/>
        <w:ind w:left="0" w:firstLine="0"/>
        <w:contextualSpacing/>
        <w:jc w:val="both"/>
        <w:rPr>
          <w:sz w:val="20"/>
          <w:szCs w:val="20"/>
        </w:rPr>
      </w:pPr>
      <w:r w:rsidRPr="00B26CEE">
        <w:rPr>
          <w:sz w:val="20"/>
          <w:szCs w:val="20"/>
        </w:rPr>
        <w:t xml:space="preserve">Staunton CA, Ruiz-Navarro JJ, Born DP. Stroke rate–stroke length dynamics in elite freestyle swimming: application of kernel density estimation. Front Sports Act Living. 2025;7:1656633. </w:t>
      </w:r>
      <w:hyperlink r:id="rId78" w:history="1">
        <w:r w:rsidR="00DA6CC0" w:rsidRPr="00646581">
          <w:rPr>
            <w:rStyle w:val="af3"/>
            <w:sz w:val="20"/>
            <w:szCs w:val="20"/>
          </w:rPr>
          <w:t>https://doi.org/10.3389/fspor.2025.1656633</w:t>
        </w:r>
      </w:hyperlink>
      <w:r w:rsidR="00DA6CC0">
        <w:rPr>
          <w:sz w:val="20"/>
          <w:szCs w:val="20"/>
        </w:rPr>
        <w:t xml:space="preserve"> </w:t>
      </w:r>
      <w:r w:rsidRPr="00B26CEE">
        <w:rPr>
          <w:sz w:val="20"/>
          <w:szCs w:val="20"/>
        </w:rPr>
        <w:t>.</w:t>
      </w:r>
    </w:p>
    <w:p w:rsidR="00B26CEE" w:rsidRPr="00B26CEE" w:rsidRDefault="00B26CEE" w:rsidP="00B26CEE">
      <w:pPr>
        <w:numPr>
          <w:ilvl w:val="0"/>
          <w:numId w:val="7"/>
        </w:numPr>
        <w:spacing w:after="0" w:line="240" w:lineRule="auto"/>
        <w:ind w:left="0" w:firstLine="0"/>
        <w:contextualSpacing/>
        <w:jc w:val="both"/>
        <w:rPr>
          <w:sz w:val="20"/>
          <w:szCs w:val="20"/>
        </w:rPr>
      </w:pPr>
      <w:bookmarkStart w:id="44" w:name="_Hlk223436034"/>
      <w:bookmarkEnd w:id="43"/>
      <w:r w:rsidRPr="00B26CEE">
        <w:rPr>
          <w:sz w:val="20"/>
          <w:szCs w:val="20"/>
        </w:rPr>
        <w:t>Рибак О, Скальський ДВ, Рибак Л, Крефт П. Біомеханічні переваги плавання стилем «Total Immersion». In: Моделювання та інформаційні технології у фізичному вихованні і спорті: зб. матеріалів ХVІІІ Міжнар. наук. конф. 19–23 верес. 2023 р.; Львів–Берегово. Львів–Берегово: ЛДУФК імені Івана Боберського; 2023. p. 43-4.</w:t>
      </w:r>
    </w:p>
    <w:bookmarkEnd w:id="44"/>
    <w:p w:rsidR="00B26CEE" w:rsidRPr="00B26CEE" w:rsidRDefault="00B26CEE" w:rsidP="00B26CEE">
      <w:pPr>
        <w:numPr>
          <w:ilvl w:val="0"/>
          <w:numId w:val="7"/>
        </w:numPr>
        <w:spacing w:after="0" w:line="240" w:lineRule="auto"/>
        <w:ind w:left="0" w:firstLine="0"/>
        <w:contextualSpacing/>
        <w:jc w:val="both"/>
        <w:rPr>
          <w:sz w:val="20"/>
          <w:szCs w:val="20"/>
        </w:rPr>
      </w:pPr>
      <w:r w:rsidRPr="00B26CEE">
        <w:rPr>
          <w:sz w:val="20"/>
          <w:szCs w:val="20"/>
        </w:rPr>
        <w:lastRenderedPageBreak/>
        <w:t xml:space="preserve">Zamparo P, Pendergast DR, Termin A, Minetti AE. Economy and efficiency of swimming at the surface with fins of different size and stiffness. Eur J Appl Physiol. 2002;86(6):476-82. </w:t>
      </w:r>
      <w:hyperlink r:id="rId79" w:history="1">
        <w:r w:rsidR="00DA6CC0" w:rsidRPr="00646581">
          <w:rPr>
            <w:rStyle w:val="af3"/>
            <w:sz w:val="20"/>
            <w:szCs w:val="20"/>
          </w:rPr>
          <w:t>https://doi.org/10.1007/s00421-001-0582-8</w:t>
        </w:r>
      </w:hyperlink>
      <w:r w:rsidR="00DA6CC0">
        <w:rPr>
          <w:sz w:val="20"/>
          <w:szCs w:val="20"/>
        </w:rPr>
        <w:t xml:space="preserve"> </w:t>
      </w:r>
      <w:r w:rsidRPr="00B26CEE">
        <w:rPr>
          <w:sz w:val="20"/>
          <w:szCs w:val="20"/>
        </w:rPr>
        <w:t>.</w:t>
      </w:r>
    </w:p>
    <w:p w:rsidR="00B26CEE" w:rsidRPr="00B26CEE" w:rsidRDefault="00B26CEE" w:rsidP="00B26CEE">
      <w:pPr>
        <w:spacing w:after="0" w:line="240" w:lineRule="auto"/>
        <w:jc w:val="center"/>
        <w:rPr>
          <w:b/>
          <w:bCs/>
          <w:sz w:val="20"/>
          <w:szCs w:val="20"/>
        </w:rPr>
      </w:pPr>
      <w:r w:rsidRPr="00B26CEE">
        <w:rPr>
          <w:b/>
          <w:bCs/>
          <w:sz w:val="20"/>
          <w:szCs w:val="20"/>
          <w:shd w:val="clear" w:color="auto" w:fill="FFFFFF"/>
        </w:rPr>
        <w:t>References</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Toussaint HM, Beek PJ. Biomechanics of competitive front crawl swimming. Sports Med. 1992;13(1):8-24. </w:t>
      </w:r>
      <w:hyperlink r:id="rId80" w:history="1">
        <w:r w:rsidR="00DA6CC0" w:rsidRPr="00646581">
          <w:rPr>
            <w:rStyle w:val="af3"/>
            <w:sz w:val="20"/>
            <w:szCs w:val="20"/>
          </w:rPr>
          <w:t>https://doi.org/10.2165/00007256-199213010-00002</w:t>
        </w:r>
      </w:hyperlink>
      <w:r w:rsidR="00DA6CC0">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Takagi H, Nakashima M, Sengoku Y, Tsunokawa T, Koga D, Narita K, et al. How do swimmers control their front crawl swimming velocity? Current knowledge and gaps from hydrodynamic perspectives. Sports Biomech. 2023;22(12):1552-71. </w:t>
      </w:r>
      <w:hyperlink r:id="rId81" w:history="1">
        <w:r w:rsidR="00DA6CC0" w:rsidRPr="00646581">
          <w:rPr>
            <w:rStyle w:val="af3"/>
            <w:sz w:val="20"/>
            <w:szCs w:val="20"/>
          </w:rPr>
          <w:t>https://doi.org/10.1080/14763141.2021.1959946</w:t>
        </w:r>
      </w:hyperlink>
      <w:r w:rsidR="00DA6CC0">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Morais J, Barbosa TM, Lopes T, et al. Analysis of upper limb propulsion in young swimmers in front-crawl through statistical parametric mapping. J Biomech. 2023;159:111792. </w:t>
      </w:r>
      <w:hyperlink r:id="rId82" w:history="1">
        <w:r w:rsidR="006D3BDB" w:rsidRPr="00646581">
          <w:rPr>
            <w:rStyle w:val="af3"/>
            <w:sz w:val="20"/>
            <w:szCs w:val="20"/>
          </w:rPr>
          <w:t>https://doi.org/10.1016/j.jbiomech.2023.111792</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Craig AB Jr, Pendergast DR. Relationships of stroke rate, distance per stroke, and velocity in competitive swimming. Med Sci Sports. 1979;11(3):278-83. </w:t>
      </w:r>
      <w:hyperlink r:id="rId83" w:history="1">
        <w:r w:rsidR="006D3BDB" w:rsidRPr="00646581">
          <w:rPr>
            <w:rStyle w:val="af3"/>
            <w:sz w:val="20"/>
            <w:szCs w:val="20"/>
          </w:rPr>
          <w:t>https://doi.org/10.1249/00005768-197923000-00007</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Barbosa TM, Keskinen KL, Fernandes R, Colaço P, Lima AB, Vilas-Boas JP. Energy cost and intracyclic variation of the velocity of the centre of mass in front crawl. Eur J </w:t>
      </w:r>
      <w:r w:rsidR="006D3BDB">
        <w:rPr>
          <w:sz w:val="20"/>
          <w:szCs w:val="20"/>
        </w:rPr>
        <w:t>Appl Physiol. 2005;93(5-6):519-</w:t>
      </w:r>
      <w:r w:rsidRPr="00B26CEE">
        <w:rPr>
          <w:sz w:val="20"/>
          <w:szCs w:val="20"/>
        </w:rPr>
        <w:t xml:space="preserve">23. </w:t>
      </w:r>
      <w:hyperlink r:id="rId84" w:history="1">
        <w:r w:rsidR="006D3BDB" w:rsidRPr="00646581">
          <w:rPr>
            <w:rStyle w:val="af3"/>
            <w:sz w:val="20"/>
            <w:szCs w:val="20"/>
          </w:rPr>
          <w:t>https://doi.org/10.1007/s00421-004-1251-4</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Psycharakis SG, Sanders RH. Shoulder and hip roll changes during 200-m front crawl swimming. Med Sci Sports Exerc. 2009;41(11):2129-36. </w:t>
      </w:r>
      <w:hyperlink r:id="rId85" w:history="1">
        <w:r w:rsidR="006D3BDB" w:rsidRPr="00646581">
          <w:rPr>
            <w:rStyle w:val="af3"/>
            <w:sz w:val="20"/>
            <w:szCs w:val="20"/>
          </w:rPr>
          <w:t>https://doi.org/10.1249/MSS.0b013e3181a7d406</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Toussaint HM, Truijens MJ, Elzinga MJ, van de Ven A, de Best H, Snabel B, et al. Effect of a fast-skin body suit on drag during front crawl swimming. Sports Biomech. 2002;1(1):1-10. </w:t>
      </w:r>
      <w:hyperlink r:id="rId86" w:history="1">
        <w:r w:rsidR="006D3BDB" w:rsidRPr="00646581">
          <w:rPr>
            <w:rStyle w:val="af3"/>
            <w:sz w:val="20"/>
            <w:szCs w:val="20"/>
          </w:rPr>
          <w:t>https://doi.org/10.1080/14763140208522784</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Seifert L, Chollet D, Rouard A. Swimming constraints and arm coordination. Hum Mov Sci. 2007;26(1):68-86. </w:t>
      </w:r>
      <w:hyperlink r:id="rId87" w:history="1">
        <w:r w:rsidR="006D3BDB" w:rsidRPr="00646581">
          <w:rPr>
            <w:rStyle w:val="af3"/>
            <w:sz w:val="20"/>
            <w:szCs w:val="20"/>
          </w:rPr>
          <w:t>https://doi.org/10.1016/j.humov.2006.09.003</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Rybak O, Kreft P, Rybak L. Biomechanical analysis of front crawl swimming using the total immersion method. Pedahohichna Akademiia: Naukovi Zapysky. 2025;(20):1-28. </w:t>
      </w:r>
      <w:hyperlink r:id="rId88" w:history="1">
        <w:r w:rsidR="006D3BDB" w:rsidRPr="00646581">
          <w:rPr>
            <w:rStyle w:val="af3"/>
            <w:sz w:val="20"/>
            <w:szCs w:val="20"/>
          </w:rPr>
          <w:t>https://doi.org/10.5281/zenodo.16744099</w:t>
        </w:r>
      </w:hyperlink>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Gourgoulis V, Antoniou P, Aggeloussis N, et al. Kinematic characteristics of the stroke and orientation of the hand during front crawl resisted swimming. J Sports Sci. 2010;28(11):1165-73. </w:t>
      </w:r>
      <w:hyperlink r:id="rId89" w:history="1">
        <w:r w:rsidR="006D3BDB" w:rsidRPr="00646581">
          <w:rPr>
            <w:rStyle w:val="af3"/>
            <w:sz w:val="20"/>
            <w:szCs w:val="20"/>
          </w:rPr>
          <w:t>https://doi.org/10.1080/02640414.2010.507251</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Guedes J, Zacca R, de Souza Castro F. Swimming front crawl in pool and open water: comparisons of kinematics, arm-stroke efficiency, and internal load in a 2 km test. Rev Port Cien Desporto. 2024;24:68-83. </w:t>
      </w:r>
      <w:hyperlink r:id="rId90" w:history="1">
        <w:r w:rsidR="006D3BDB" w:rsidRPr="00646581">
          <w:rPr>
            <w:rStyle w:val="af3"/>
            <w:sz w:val="20"/>
            <w:szCs w:val="20"/>
          </w:rPr>
          <w:t>https://doi.org/10.5628/rpcd.24.01.68</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Staunton CA, Ruiz-Navarro JJ, Born DP. Stroke rate–stroke length dynamics in elite freestyle swimming: application of kernel density estimation. Front Sports Act Living. 2025;7:1656633. </w:t>
      </w:r>
      <w:hyperlink r:id="rId91" w:history="1">
        <w:r w:rsidR="006D3BDB" w:rsidRPr="00646581">
          <w:rPr>
            <w:rStyle w:val="af3"/>
            <w:sz w:val="20"/>
            <w:szCs w:val="20"/>
          </w:rPr>
          <w:t>https://doi.org/10.3389/fspor.2025.1656633</w:t>
        </w:r>
      </w:hyperlink>
      <w:r w:rsidR="006D3BDB">
        <w:rPr>
          <w:sz w:val="20"/>
          <w:szCs w:val="20"/>
        </w:rPr>
        <w:t xml:space="preserve"> </w:t>
      </w:r>
      <w:r w:rsidRPr="00B26CEE">
        <w:rPr>
          <w:sz w:val="20"/>
          <w:szCs w:val="20"/>
        </w:rPr>
        <w:t>.</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Rybak O, Skalsky DW, Rybak L, Kreft P. Biomechanical advantages of swimming using the total immersion method. In: Proceedings of the XVIII International Scientific Conference “Modeling and Information Technologies in Physical Education and Sport”; 2023 Sep 19-23; Lviv-Berehove. Lviv: LDUFK; 2023. p. 43-4.</w:t>
      </w:r>
    </w:p>
    <w:p w:rsidR="00B26CEE" w:rsidRPr="00B26CEE" w:rsidRDefault="00B26CEE" w:rsidP="00B26CEE">
      <w:pPr>
        <w:numPr>
          <w:ilvl w:val="0"/>
          <w:numId w:val="8"/>
        </w:numPr>
        <w:spacing w:after="0" w:line="240" w:lineRule="auto"/>
        <w:ind w:left="0" w:firstLine="0"/>
        <w:contextualSpacing/>
        <w:jc w:val="both"/>
        <w:rPr>
          <w:sz w:val="20"/>
          <w:szCs w:val="20"/>
        </w:rPr>
      </w:pPr>
      <w:r w:rsidRPr="00B26CEE">
        <w:rPr>
          <w:sz w:val="20"/>
          <w:szCs w:val="20"/>
        </w:rPr>
        <w:t xml:space="preserve">Zamparo P, Pendergast DR, Termin A, Minetti AE. Economy and efficiency of swimming at the surface with fins of different size and stiffness. Eur J Appl Physiol. 2002;86(6):476-82. </w:t>
      </w:r>
      <w:hyperlink r:id="rId92" w:history="1">
        <w:r w:rsidR="006D3BDB" w:rsidRPr="00646581">
          <w:rPr>
            <w:rStyle w:val="af3"/>
            <w:sz w:val="20"/>
            <w:szCs w:val="20"/>
          </w:rPr>
          <w:t>https://doi.org/10.1007/s00421-001-0582-8</w:t>
        </w:r>
      </w:hyperlink>
      <w:r w:rsidR="006D3BDB">
        <w:rPr>
          <w:sz w:val="20"/>
          <w:szCs w:val="20"/>
        </w:rPr>
        <w:t xml:space="preserve"> </w:t>
      </w:r>
      <w:r w:rsidRPr="00B26CEE">
        <w:rPr>
          <w:sz w:val="20"/>
          <w:szCs w:val="20"/>
        </w:rPr>
        <w:t>.</w:t>
      </w:r>
    </w:p>
    <w:p w:rsidR="00B26CEE" w:rsidRPr="00B26CEE" w:rsidRDefault="00B26CEE" w:rsidP="00B26CEE">
      <w:pPr>
        <w:spacing w:after="160" w:line="240" w:lineRule="auto"/>
        <w:rPr>
          <w:sz w:val="20"/>
          <w:szCs w:val="20"/>
        </w:rPr>
      </w:pPr>
    </w:p>
    <w:tbl>
      <w:tblPr>
        <w:tblStyle w:val="2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B26CEE" w:rsidRPr="00B26CEE" w:rsidTr="00B26CEE">
        <w:tc>
          <w:tcPr>
            <w:tcW w:w="9286" w:type="dxa"/>
            <w:shd w:val="clear" w:color="auto" w:fill="BFBFBF"/>
          </w:tcPr>
          <w:p w:rsidR="00B26CEE" w:rsidRPr="00B26CEE" w:rsidRDefault="00B26CEE" w:rsidP="00B26CEE">
            <w:pPr>
              <w:spacing w:before="100" w:after="100" w:line="240" w:lineRule="auto"/>
              <w:jc w:val="both"/>
              <w:rPr>
                <w:b/>
                <w:sz w:val="20"/>
                <w:szCs w:val="20"/>
              </w:rPr>
            </w:pPr>
            <w:r w:rsidRPr="00B26CEE">
              <w:rPr>
                <w:b/>
                <w:sz w:val="20"/>
                <w:szCs w:val="24"/>
              </w:rPr>
              <w:t>Цитування на</w:t>
            </w:r>
            <w:r w:rsidRPr="00B26CEE">
              <w:rPr>
                <w:b/>
                <w:spacing w:val="2"/>
                <w:sz w:val="20"/>
                <w:szCs w:val="24"/>
              </w:rPr>
              <w:t xml:space="preserve"> </w:t>
            </w:r>
            <w:r w:rsidRPr="00B26CEE">
              <w:rPr>
                <w:b/>
                <w:sz w:val="20"/>
                <w:szCs w:val="24"/>
              </w:rPr>
              <w:t>цю статтю:</w:t>
            </w:r>
          </w:p>
        </w:tc>
      </w:tr>
      <w:tr w:rsidR="00B26CEE" w:rsidRPr="00B26CEE" w:rsidTr="00C07F42">
        <w:tc>
          <w:tcPr>
            <w:tcW w:w="9286" w:type="dxa"/>
          </w:tcPr>
          <w:p w:rsidR="00B26CEE" w:rsidRPr="00B26CEE" w:rsidRDefault="00B26CEE" w:rsidP="00B26CEE">
            <w:pPr>
              <w:spacing w:before="100" w:after="100" w:line="240" w:lineRule="auto"/>
              <w:jc w:val="both"/>
              <w:rPr>
                <w:i/>
                <w:sz w:val="20"/>
                <w:szCs w:val="20"/>
                <w:lang w:val="ru-RU"/>
              </w:rPr>
            </w:pPr>
            <w:r w:rsidRPr="00B26CEE">
              <w:rPr>
                <w:bCs/>
                <w:iCs/>
                <w:sz w:val="20"/>
                <w:szCs w:val="20"/>
              </w:rPr>
              <w:t>Крефт П</w:t>
            </w:r>
            <w:r w:rsidRPr="00B26CEE">
              <w:rPr>
                <w:rFonts w:cs="Mangal"/>
                <w:kern w:val="1"/>
                <w:sz w:val="20"/>
                <w:szCs w:val="20"/>
                <w:lang w:val="ru-RU" w:bidi="hi-IN"/>
              </w:rPr>
              <w:t xml:space="preserve">. </w:t>
            </w:r>
            <w:r w:rsidRPr="00B26CEE">
              <w:rPr>
                <w:bCs/>
                <w:sz w:val="20"/>
                <w:szCs w:val="20"/>
                <w:lang w:val="ru-RU"/>
              </w:rPr>
              <w:t>Порівняльний біомеханічний аналіз техніки ужиткового плавання кролем на грудях методом «повного занурення» та класичним кролем</w:t>
            </w:r>
            <w:r w:rsidRPr="00B26CEE">
              <w:rPr>
                <w:rFonts w:cs="Mangal"/>
                <w:kern w:val="1"/>
                <w:sz w:val="20"/>
                <w:szCs w:val="20"/>
                <w:lang w:val="ru-RU" w:bidi="hi-IN"/>
              </w:rPr>
              <w:t xml:space="preserve">. </w:t>
            </w:r>
            <w:r w:rsidRPr="00B26CEE">
              <w:rPr>
                <w:sz w:val="20"/>
                <w:szCs w:val="20"/>
              </w:rPr>
              <w:t>Вісник Прикарпатського університету</w:t>
            </w:r>
            <w:r w:rsidRPr="00B26CEE">
              <w:rPr>
                <w:rFonts w:cs="Mangal"/>
                <w:kern w:val="1"/>
                <w:sz w:val="20"/>
                <w:szCs w:val="20"/>
                <w:lang w:val="ru-RU" w:bidi="hi-IN"/>
              </w:rPr>
              <w:t xml:space="preserve"> </w:t>
            </w:r>
            <w:r w:rsidRPr="00B26CEE">
              <w:rPr>
                <w:kern w:val="1"/>
                <w:sz w:val="20"/>
                <w:szCs w:val="20"/>
                <w:lang w:val="ru-RU" w:bidi="hi-IN"/>
              </w:rPr>
              <w:t>Серія:</w:t>
            </w:r>
            <w:r w:rsidRPr="00B26CEE">
              <w:rPr>
                <w:rFonts w:cs="Mangal"/>
                <w:kern w:val="1"/>
                <w:sz w:val="20"/>
                <w:szCs w:val="20"/>
                <w:lang w:val="ru-RU" w:bidi="hi-IN"/>
              </w:rPr>
              <w:t xml:space="preserve"> </w:t>
            </w:r>
            <w:r w:rsidRPr="00B26CEE">
              <w:rPr>
                <w:kern w:val="1"/>
                <w:sz w:val="20"/>
                <w:szCs w:val="20"/>
                <w:lang w:val="ru-RU" w:bidi="hi-IN"/>
              </w:rPr>
              <w:t>Фізична</w:t>
            </w:r>
            <w:r w:rsidRPr="00B26CEE">
              <w:rPr>
                <w:rFonts w:cs="Mangal"/>
                <w:kern w:val="1"/>
                <w:sz w:val="20"/>
                <w:szCs w:val="20"/>
                <w:lang w:val="ru-RU" w:bidi="hi-IN"/>
              </w:rPr>
              <w:t xml:space="preserve"> </w:t>
            </w:r>
            <w:r w:rsidRPr="00B26CEE">
              <w:rPr>
                <w:spacing w:val="-1"/>
                <w:kern w:val="1"/>
                <w:sz w:val="20"/>
                <w:szCs w:val="20"/>
                <w:lang w:val="ru-RU" w:bidi="hi-IN"/>
              </w:rPr>
              <w:t>культура.</w:t>
            </w:r>
            <w:r w:rsidRPr="00B26CEE">
              <w:rPr>
                <w:rFonts w:cs="Mangal"/>
                <w:spacing w:val="5"/>
                <w:kern w:val="1"/>
                <w:sz w:val="20"/>
                <w:szCs w:val="20"/>
                <w:lang w:val="ru-RU" w:bidi="hi-IN"/>
              </w:rPr>
              <w:t xml:space="preserve"> </w:t>
            </w:r>
            <w:r w:rsidRPr="00B26CEE">
              <w:rPr>
                <w:rFonts w:cs="Mangal"/>
                <w:spacing w:val="1"/>
                <w:kern w:val="1"/>
                <w:sz w:val="20"/>
                <w:szCs w:val="20"/>
                <w:lang w:val="ru-RU" w:bidi="hi-IN"/>
              </w:rPr>
              <w:t>202</w:t>
            </w:r>
            <w:r w:rsidRPr="00B26CEE">
              <w:rPr>
                <w:rFonts w:cs="Mangal"/>
                <w:spacing w:val="1"/>
                <w:kern w:val="1"/>
                <w:sz w:val="20"/>
                <w:szCs w:val="20"/>
                <w:lang w:bidi="hi-IN"/>
              </w:rPr>
              <w:t>6</w:t>
            </w:r>
            <w:r w:rsidRPr="00B26CEE">
              <w:rPr>
                <w:rFonts w:cs="Mangal"/>
                <w:kern w:val="1"/>
                <w:sz w:val="20"/>
                <w:szCs w:val="20"/>
                <w:lang w:val="ru-RU" w:bidi="hi-IN"/>
              </w:rPr>
              <w:t xml:space="preserve"> </w:t>
            </w:r>
            <w:r w:rsidRPr="00B26CEE">
              <w:rPr>
                <w:spacing w:val="-1"/>
                <w:kern w:val="1"/>
                <w:sz w:val="20"/>
                <w:szCs w:val="20"/>
                <w:lang w:bidi="hi-IN"/>
              </w:rPr>
              <w:t>Трав</w:t>
            </w:r>
            <w:r w:rsidRPr="00B26CEE">
              <w:rPr>
                <w:spacing w:val="-1"/>
                <w:kern w:val="1"/>
                <w:sz w:val="20"/>
                <w:szCs w:val="20"/>
                <w:lang w:val="ru-RU" w:bidi="hi-IN"/>
              </w:rPr>
              <w:t>ень 0</w:t>
            </w:r>
            <w:r w:rsidRPr="00B26CEE">
              <w:rPr>
                <w:spacing w:val="-1"/>
                <w:kern w:val="1"/>
                <w:sz w:val="20"/>
                <w:szCs w:val="20"/>
                <w:lang w:bidi="hi-IN"/>
              </w:rPr>
              <w:t>5</w:t>
            </w:r>
            <w:r w:rsidRPr="00B26CEE">
              <w:rPr>
                <w:rFonts w:cs="Mangal"/>
                <w:spacing w:val="1"/>
                <w:kern w:val="1"/>
                <w:sz w:val="20"/>
                <w:szCs w:val="20"/>
                <w:lang w:val="ru-RU" w:bidi="hi-IN"/>
              </w:rPr>
              <w:t>;</w:t>
            </w:r>
            <w:r w:rsidRPr="00B26CEE">
              <w:rPr>
                <w:rFonts w:cs="Mangal"/>
                <w:spacing w:val="-1"/>
                <w:kern w:val="1"/>
                <w:sz w:val="20"/>
                <w:szCs w:val="20"/>
                <w:lang w:val="ru-RU" w:bidi="hi-IN"/>
              </w:rPr>
              <w:t xml:space="preserve"> </w:t>
            </w:r>
            <w:r w:rsidRPr="00B26CEE">
              <w:rPr>
                <w:rFonts w:cs="Mangal"/>
                <w:spacing w:val="1"/>
                <w:kern w:val="1"/>
                <w:sz w:val="20"/>
                <w:szCs w:val="20"/>
                <w:lang w:val="ru-RU" w:bidi="hi-IN"/>
              </w:rPr>
              <w:t>4</w:t>
            </w:r>
            <w:r w:rsidRPr="00B26CEE">
              <w:rPr>
                <w:rFonts w:cs="Mangal"/>
                <w:spacing w:val="1"/>
                <w:kern w:val="1"/>
                <w:sz w:val="20"/>
                <w:szCs w:val="20"/>
                <w:lang w:bidi="hi-IN"/>
              </w:rPr>
              <w:t>6</w:t>
            </w:r>
            <w:r w:rsidRPr="00B26CEE">
              <w:rPr>
                <w:rFonts w:cs="Mangal"/>
                <w:spacing w:val="1"/>
                <w:kern w:val="1"/>
                <w:sz w:val="20"/>
                <w:szCs w:val="20"/>
                <w:lang w:val="ru-RU" w:bidi="hi-IN"/>
              </w:rPr>
              <w:t xml:space="preserve">: </w:t>
            </w:r>
            <w:r w:rsidRPr="00B26CEE">
              <w:rPr>
                <w:rFonts w:cs="Mangal"/>
                <w:kern w:val="1"/>
                <w:sz w:val="20"/>
                <w:szCs w:val="20"/>
                <w:lang w:bidi="hi-IN"/>
              </w:rPr>
              <w:t>24</w:t>
            </w:r>
            <w:r w:rsidRPr="00B26CEE">
              <w:rPr>
                <w:rFonts w:cs="Mangal"/>
                <w:kern w:val="1"/>
                <w:sz w:val="20"/>
                <w:szCs w:val="20"/>
                <w:lang w:val="ru-RU" w:bidi="hi-IN"/>
              </w:rPr>
              <w:t>-</w:t>
            </w:r>
            <w:r w:rsidRPr="00B26CEE">
              <w:rPr>
                <w:rFonts w:cs="Mangal"/>
                <w:kern w:val="1"/>
                <w:sz w:val="20"/>
                <w:szCs w:val="20"/>
                <w:lang w:bidi="hi-IN"/>
              </w:rPr>
              <w:t>29</w:t>
            </w:r>
            <w:r w:rsidRPr="00B26CEE">
              <w:rPr>
                <w:sz w:val="20"/>
                <w:szCs w:val="20"/>
                <w:lang w:val="ru-RU"/>
              </w:rPr>
              <w:t>.</w:t>
            </w:r>
          </w:p>
        </w:tc>
      </w:tr>
    </w:tbl>
    <w:p w:rsidR="00B26CEE" w:rsidRPr="00B26CEE" w:rsidRDefault="00B26CEE" w:rsidP="00B26CEE">
      <w:pPr>
        <w:autoSpaceDE w:val="0"/>
        <w:autoSpaceDN w:val="0"/>
        <w:adjustRightInd w:val="0"/>
        <w:spacing w:after="0" w:line="240" w:lineRule="auto"/>
        <w:ind w:left="720"/>
        <w:jc w:val="both"/>
        <w:rPr>
          <w:rFonts w:eastAsia="Calibri"/>
          <w:sz w:val="20"/>
          <w:szCs w:val="20"/>
        </w:rPr>
      </w:pPr>
    </w:p>
    <w:tbl>
      <w:tblPr>
        <w:tblStyle w:val="2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070"/>
      </w:tblGrid>
      <w:tr w:rsidR="00B26CEE" w:rsidRPr="00B26CEE" w:rsidTr="00B26CEE">
        <w:tc>
          <w:tcPr>
            <w:tcW w:w="9070" w:type="dxa"/>
            <w:shd w:val="clear" w:color="auto" w:fill="BFBFBF"/>
          </w:tcPr>
          <w:p w:rsidR="00B26CEE" w:rsidRPr="00B26CEE" w:rsidRDefault="00B26CEE" w:rsidP="00B26CEE">
            <w:pPr>
              <w:spacing w:before="100" w:after="100" w:line="240" w:lineRule="auto"/>
              <w:jc w:val="both"/>
              <w:rPr>
                <w:b/>
                <w:sz w:val="20"/>
                <w:szCs w:val="20"/>
              </w:rPr>
            </w:pPr>
            <w:r w:rsidRPr="00B26CEE">
              <w:rPr>
                <w:b/>
                <w:sz w:val="20"/>
                <w:szCs w:val="20"/>
              </w:rPr>
              <w:t>Відомості про авторів</w:t>
            </w:r>
          </w:p>
        </w:tc>
      </w:tr>
      <w:tr w:rsidR="00B26CEE" w:rsidRPr="00B26CEE" w:rsidTr="00C07F42">
        <w:tc>
          <w:tcPr>
            <w:tcW w:w="9070" w:type="dxa"/>
          </w:tcPr>
          <w:p w:rsidR="00B26CEE" w:rsidRPr="00B26CEE" w:rsidRDefault="00B26CEE" w:rsidP="00B26CEE">
            <w:pPr>
              <w:spacing w:after="0" w:line="240" w:lineRule="auto"/>
              <w:jc w:val="both"/>
              <w:rPr>
                <w:sz w:val="20"/>
                <w:szCs w:val="20"/>
                <w:lang w:eastAsia="uk-UA"/>
              </w:rPr>
            </w:pPr>
            <w:r w:rsidRPr="00B26CEE">
              <w:rPr>
                <w:rFonts w:eastAsia="Calibri"/>
                <w:b/>
                <w:bCs/>
                <w:i/>
                <w:iCs/>
                <w:sz w:val="20"/>
                <w:szCs w:val="20"/>
              </w:rPr>
              <w:t xml:space="preserve">Пауліна Крефт </w:t>
            </w:r>
            <w:r w:rsidRPr="00B26CEE">
              <w:rPr>
                <w:sz w:val="20"/>
                <w:szCs w:val="20"/>
                <w:lang w:eastAsia="uk-UA"/>
              </w:rPr>
              <w:t xml:space="preserve"> - аспірант, Львівський державний університет фізичної культури імені Івана Боберського</w:t>
            </w:r>
          </w:p>
          <w:p w:rsidR="00B26CEE" w:rsidRPr="00B26CEE" w:rsidRDefault="00B26CEE" w:rsidP="00B26CEE">
            <w:pPr>
              <w:spacing w:after="0" w:line="240" w:lineRule="auto"/>
              <w:jc w:val="both"/>
              <w:rPr>
                <w:sz w:val="20"/>
                <w:szCs w:val="20"/>
                <w:lang w:eastAsia="uk-UA"/>
              </w:rPr>
            </w:pPr>
            <w:r w:rsidRPr="00B26CEE">
              <w:rPr>
                <w:rFonts w:eastAsia="Calibri"/>
                <w:sz w:val="20"/>
                <w:szCs w:val="20"/>
              </w:rPr>
              <w:t>https://orcid.org/0000-0002-6474-0601</w:t>
            </w:r>
            <w:r w:rsidRPr="00B26CEE">
              <w:rPr>
                <w:sz w:val="20"/>
                <w:szCs w:val="20"/>
                <w:lang w:eastAsia="uk-UA"/>
              </w:rPr>
              <w:t xml:space="preserve">  </w:t>
            </w:r>
          </w:p>
          <w:p w:rsidR="00B26CEE" w:rsidRPr="00B26CEE" w:rsidRDefault="00B26CEE" w:rsidP="00B26CEE">
            <w:pPr>
              <w:spacing w:after="0" w:line="240" w:lineRule="auto"/>
              <w:jc w:val="both"/>
              <w:rPr>
                <w:i/>
                <w:sz w:val="20"/>
                <w:szCs w:val="20"/>
                <w:lang w:eastAsia="uk-UA"/>
              </w:rPr>
            </w:pPr>
            <w:r w:rsidRPr="00B26CEE">
              <w:rPr>
                <w:sz w:val="20"/>
                <w:szCs w:val="20"/>
                <w:lang w:eastAsia="uk-UA"/>
              </w:rPr>
              <w:t xml:space="preserve">e-mail: </w:t>
            </w:r>
            <w:hyperlink r:id="rId93" w:history="1">
              <w:r w:rsidRPr="00B26CEE">
                <w:rPr>
                  <w:bCs/>
                  <w:color w:val="0563C1"/>
                  <w:sz w:val="20"/>
                  <w:szCs w:val="20"/>
                  <w:u w:val="single"/>
                </w:rPr>
                <w:t>paulinakreft@onet.eu</w:t>
              </w:r>
            </w:hyperlink>
            <w:r w:rsidRPr="00B26CEE">
              <w:rPr>
                <w:bCs/>
                <w:sz w:val="20"/>
                <w:szCs w:val="20"/>
              </w:rPr>
              <w:t xml:space="preserve"> </w:t>
            </w:r>
          </w:p>
        </w:tc>
      </w:tr>
    </w:tbl>
    <w:p w:rsidR="00B26CEE" w:rsidRPr="00B26CEE" w:rsidRDefault="00B26CEE" w:rsidP="00B26CEE">
      <w:pPr>
        <w:spacing w:after="0" w:line="240" w:lineRule="auto"/>
        <w:ind w:left="720"/>
        <w:contextualSpacing/>
        <w:jc w:val="both"/>
        <w:rPr>
          <w:rFonts w:eastAsia="Calibri"/>
          <w:sz w:val="20"/>
          <w:szCs w:val="20"/>
        </w:rPr>
      </w:pPr>
    </w:p>
    <w:p w:rsidR="00B26CEE" w:rsidRPr="00B26CEE" w:rsidRDefault="00B26CEE" w:rsidP="00B26CEE">
      <w:pPr>
        <w:spacing w:after="0" w:line="240" w:lineRule="auto"/>
        <w:ind w:left="720"/>
        <w:contextualSpacing/>
        <w:jc w:val="both"/>
        <w:rPr>
          <w:rFonts w:eastAsia="Calibri"/>
          <w:sz w:val="20"/>
          <w:szCs w:val="20"/>
        </w:rPr>
      </w:pPr>
    </w:p>
    <w:p w:rsidR="00B26CEE" w:rsidRPr="00B26CEE" w:rsidRDefault="00B26CEE" w:rsidP="00B26CEE">
      <w:pPr>
        <w:spacing w:after="0" w:line="240" w:lineRule="auto"/>
        <w:ind w:left="3261"/>
        <w:contextualSpacing/>
        <w:jc w:val="both"/>
        <w:rPr>
          <w:rFonts w:eastAsia="Calibri"/>
          <w:sz w:val="20"/>
          <w:szCs w:val="20"/>
        </w:rPr>
      </w:pPr>
      <w:r w:rsidRPr="00B26CEE">
        <w:rPr>
          <w:rFonts w:eastAsia="Calibri"/>
          <w:sz w:val="20"/>
          <w:szCs w:val="20"/>
        </w:rPr>
        <w:t>Дата першого надходження статті до видання: 19.03.2026</w:t>
      </w:r>
    </w:p>
    <w:p w:rsidR="00B26CEE" w:rsidRPr="00B26CEE" w:rsidRDefault="00B26CEE" w:rsidP="00B26CEE">
      <w:pPr>
        <w:spacing w:after="0" w:line="240" w:lineRule="auto"/>
        <w:ind w:left="3261"/>
        <w:contextualSpacing/>
        <w:jc w:val="both"/>
        <w:rPr>
          <w:rFonts w:eastAsia="Calibri"/>
          <w:sz w:val="20"/>
          <w:szCs w:val="20"/>
        </w:rPr>
      </w:pPr>
      <w:r w:rsidRPr="00B26CEE">
        <w:rPr>
          <w:rFonts w:eastAsia="Calibri"/>
          <w:sz w:val="20"/>
          <w:szCs w:val="20"/>
        </w:rPr>
        <w:t>Дата прийняття статті до друку після рецензування: 21.04.2026</w:t>
      </w:r>
    </w:p>
    <w:p w:rsidR="00FE760B" w:rsidRDefault="00B26CEE" w:rsidP="0004467E">
      <w:pPr>
        <w:spacing w:after="0" w:line="240" w:lineRule="auto"/>
        <w:ind w:left="3261"/>
        <w:contextualSpacing/>
        <w:jc w:val="both"/>
        <w:rPr>
          <w:spacing w:val="-4"/>
          <w:sz w:val="18"/>
        </w:rPr>
      </w:pPr>
      <w:r w:rsidRPr="00B26CEE">
        <w:rPr>
          <w:rFonts w:eastAsia="Calibri"/>
          <w:sz w:val="20"/>
          <w:szCs w:val="20"/>
        </w:rPr>
        <w:t>Дата публікації (оприлюднення) статті: 30.04.2026</w:t>
      </w:r>
      <w:r w:rsidR="00FE760B">
        <w:rPr>
          <w:spacing w:val="-4"/>
          <w:sz w:val="18"/>
        </w:rPr>
        <w:br w:type="page"/>
      </w: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FE760B" w:rsidRPr="00FE760B" w:rsidTr="00C07F42">
        <w:tc>
          <w:tcPr>
            <w:tcW w:w="3785" w:type="dxa"/>
          </w:tcPr>
          <w:p w:rsidR="00FE760B" w:rsidRPr="00FE760B" w:rsidRDefault="00FE760B" w:rsidP="00FE760B">
            <w:pPr>
              <w:spacing w:after="0" w:line="240" w:lineRule="auto"/>
              <w:rPr>
                <w:b/>
                <w:sz w:val="20"/>
                <w:szCs w:val="20"/>
                <w:lang w:eastAsia="uk-UA"/>
              </w:rPr>
            </w:pPr>
            <w:r w:rsidRPr="00FE760B">
              <w:rPr>
                <w:b/>
                <w:sz w:val="20"/>
                <w:szCs w:val="20"/>
                <w:lang w:eastAsia="uk-UA"/>
              </w:rPr>
              <w:lastRenderedPageBreak/>
              <w:t>УДК 796.</w:t>
            </w:r>
            <w:r w:rsidRPr="00FE760B">
              <w:rPr>
                <w:rFonts w:ascii="Aptos" w:hAnsi="Aptos"/>
                <w:sz w:val="22"/>
                <w:szCs w:val="22"/>
              </w:rPr>
              <w:t xml:space="preserve"> </w:t>
            </w:r>
            <w:r w:rsidRPr="00FE760B">
              <w:rPr>
                <w:b/>
                <w:sz w:val="20"/>
                <w:szCs w:val="20"/>
                <w:lang w:eastAsia="uk-UA"/>
              </w:rPr>
              <w:t>07:37</w:t>
            </w:r>
          </w:p>
          <w:p w:rsidR="00FE760B" w:rsidRPr="00FE760B" w:rsidRDefault="00FE760B" w:rsidP="00FE760B">
            <w:pPr>
              <w:spacing w:after="0" w:line="240" w:lineRule="auto"/>
              <w:rPr>
                <w:b/>
                <w:sz w:val="20"/>
                <w:szCs w:val="20"/>
                <w:lang w:val="uk-UA" w:eastAsia="uk-UA"/>
              </w:rPr>
            </w:pPr>
            <w:r w:rsidRPr="00FE760B">
              <w:rPr>
                <w:b/>
                <w:sz w:val="20"/>
                <w:szCs w:val="20"/>
                <w:lang w:eastAsia="uk-UA"/>
              </w:rPr>
              <w:t xml:space="preserve">doi: </w:t>
            </w:r>
            <w:r w:rsidRPr="00FE760B">
              <w:rPr>
                <w:rFonts w:eastAsia="SimSun"/>
                <w:b/>
                <w:kern w:val="1"/>
                <w:sz w:val="20"/>
                <w:szCs w:val="20"/>
                <w:lang w:eastAsia="zh-CN" w:bidi="hi-IN"/>
              </w:rPr>
              <w:t>10.15330/fcult.4</w:t>
            </w:r>
            <w:r w:rsidRPr="00FE760B">
              <w:rPr>
                <w:rFonts w:eastAsia="SimSun"/>
                <w:b/>
                <w:kern w:val="1"/>
                <w:sz w:val="20"/>
                <w:szCs w:val="20"/>
                <w:lang w:val="uk-UA" w:eastAsia="zh-CN" w:bidi="hi-IN"/>
              </w:rPr>
              <w:t>6</w:t>
            </w:r>
            <w:r w:rsidRPr="00FE760B">
              <w:rPr>
                <w:rFonts w:eastAsia="SimSun"/>
                <w:b/>
                <w:kern w:val="1"/>
                <w:sz w:val="20"/>
                <w:szCs w:val="20"/>
                <w:lang w:eastAsia="zh-CN" w:bidi="hi-IN"/>
              </w:rPr>
              <w:t>.</w:t>
            </w:r>
            <w:r w:rsidRPr="00FE760B">
              <w:rPr>
                <w:rFonts w:eastAsia="SimSun"/>
                <w:b/>
                <w:kern w:val="1"/>
                <w:sz w:val="20"/>
                <w:szCs w:val="20"/>
                <w:lang w:val="uk-UA" w:eastAsia="zh-CN" w:bidi="hi-IN"/>
              </w:rPr>
              <w:t>30</w:t>
            </w:r>
            <w:r w:rsidRPr="00FE760B">
              <w:rPr>
                <w:rFonts w:eastAsia="SimSun"/>
                <w:b/>
                <w:kern w:val="1"/>
                <w:sz w:val="20"/>
                <w:szCs w:val="20"/>
                <w:lang w:eastAsia="zh-CN" w:bidi="hi-IN"/>
              </w:rPr>
              <w:t>-</w:t>
            </w:r>
            <w:r w:rsidRPr="00FE760B">
              <w:rPr>
                <w:rFonts w:eastAsia="SimSun"/>
                <w:b/>
                <w:kern w:val="1"/>
                <w:sz w:val="20"/>
                <w:szCs w:val="20"/>
                <w:lang w:val="uk-UA" w:eastAsia="zh-CN" w:bidi="hi-IN"/>
              </w:rPr>
              <w:t>38</w:t>
            </w:r>
          </w:p>
        </w:tc>
        <w:tc>
          <w:tcPr>
            <w:tcW w:w="5501" w:type="dxa"/>
          </w:tcPr>
          <w:p w:rsidR="00FE760B" w:rsidRPr="00FE760B" w:rsidRDefault="00FE760B" w:rsidP="00FE760B">
            <w:pPr>
              <w:spacing w:after="0" w:line="240" w:lineRule="auto"/>
              <w:jc w:val="right"/>
              <w:rPr>
                <w:b/>
                <w:i/>
                <w:sz w:val="20"/>
                <w:szCs w:val="20"/>
                <w:lang w:eastAsia="uk-UA"/>
              </w:rPr>
            </w:pPr>
            <w:r w:rsidRPr="00FE760B">
              <w:rPr>
                <w:b/>
                <w:bCs/>
                <w:i/>
                <w:iCs/>
                <w:sz w:val="20"/>
                <w:szCs w:val="20"/>
              </w:rPr>
              <w:t xml:space="preserve">Євген Гончаренко, Дмитро Анікєєв, Олена Степанюк </w:t>
            </w:r>
          </w:p>
        </w:tc>
      </w:tr>
    </w:tbl>
    <w:p w:rsidR="00FE760B" w:rsidRPr="00FE760B" w:rsidRDefault="00FE760B" w:rsidP="00FE760B">
      <w:pPr>
        <w:spacing w:after="0" w:line="240" w:lineRule="auto"/>
        <w:jc w:val="right"/>
        <w:rPr>
          <w:sz w:val="24"/>
          <w:szCs w:val="24"/>
          <w:lang w:eastAsia="uk-UA"/>
        </w:rPr>
      </w:pPr>
    </w:p>
    <w:p w:rsidR="00FE760B" w:rsidRPr="00FE760B" w:rsidRDefault="00FE760B" w:rsidP="00FE760B">
      <w:pPr>
        <w:spacing w:after="0" w:line="240" w:lineRule="auto"/>
        <w:jc w:val="center"/>
        <w:rPr>
          <w:b/>
          <w:bCs/>
          <w:sz w:val="24"/>
          <w:szCs w:val="24"/>
          <w:lang w:eastAsia="uk-UA"/>
        </w:rPr>
      </w:pPr>
      <w:r w:rsidRPr="00FE760B">
        <w:rPr>
          <w:b/>
          <w:bCs/>
          <w:sz w:val="24"/>
          <w:szCs w:val="24"/>
          <w:lang w:eastAsia="uk-UA"/>
        </w:rPr>
        <w:t>ПОРІВНЯЛЬНИЙ АНАЛІЗ ПІДХОДІВ ДО АНТИДОПІНГОВОЇ ОСВІТИ В АДАПТИВНОМУ СПОРТІ НА МАТЕРІАЛІ IPC, INAS ТА SPECIAL OLYMPICS</w:t>
      </w:r>
    </w:p>
    <w:p w:rsidR="00FE760B" w:rsidRPr="00FE760B" w:rsidRDefault="00FE760B" w:rsidP="00FE760B">
      <w:pPr>
        <w:spacing w:after="0" w:line="240" w:lineRule="auto"/>
        <w:jc w:val="center"/>
        <w:rPr>
          <w:sz w:val="24"/>
          <w:szCs w:val="24"/>
          <w:lang w:eastAsia="uk-UA"/>
        </w:rPr>
      </w:pPr>
    </w:p>
    <w:p w:rsidR="00FE760B" w:rsidRPr="00FE760B" w:rsidRDefault="00FE760B" w:rsidP="00FE760B">
      <w:pPr>
        <w:spacing w:after="0" w:line="240" w:lineRule="auto"/>
        <w:ind w:firstLine="708"/>
        <w:jc w:val="both"/>
        <w:rPr>
          <w:sz w:val="20"/>
          <w:szCs w:val="20"/>
          <w:lang w:eastAsia="uk-UA"/>
        </w:rPr>
      </w:pPr>
      <w:r w:rsidRPr="00FE760B">
        <w:rPr>
          <w:b/>
          <w:bCs/>
          <w:sz w:val="20"/>
          <w:szCs w:val="20"/>
          <w:lang w:eastAsia="uk-UA"/>
        </w:rPr>
        <w:t xml:space="preserve">Анотація. </w:t>
      </w:r>
      <w:r w:rsidRPr="00FE760B">
        <w:rPr>
          <w:b/>
          <w:sz w:val="20"/>
          <w:szCs w:val="20"/>
          <w:lang w:eastAsia="uk-UA"/>
        </w:rPr>
        <w:t>Мета</w:t>
      </w:r>
      <w:r w:rsidRPr="00FE760B">
        <w:rPr>
          <w:sz w:val="20"/>
          <w:szCs w:val="20"/>
          <w:lang w:eastAsia="uk-UA"/>
        </w:rPr>
        <w:t xml:space="preserve"> – охарактеризувати роль антидопінгової освіти в адаптивному спорті та здійснити порівняльний аналіз підходів IPC, INAS та Special Olympics. </w:t>
      </w:r>
      <w:r w:rsidRPr="00FE760B">
        <w:rPr>
          <w:b/>
          <w:sz w:val="20"/>
          <w:szCs w:val="20"/>
          <w:lang w:eastAsia="uk-UA"/>
        </w:rPr>
        <w:t>Матеріал і методи</w:t>
      </w:r>
      <w:r w:rsidRPr="00FE760B">
        <w:rPr>
          <w:sz w:val="20"/>
          <w:szCs w:val="20"/>
          <w:lang w:eastAsia="uk-UA"/>
        </w:rPr>
        <w:t>. Використано порівняльний аналіз нормативних актів (Кодекс ВАДА 2021, правила IPC та INAS, антидопінгова позиція Special Olympics 2021), систематизацію рецензованої літератури та екосистемний підхід. Проаналізовано 19 джерел, відібраних через академічну базу Consensus.</w:t>
      </w:r>
      <w:r w:rsidRPr="00FE760B">
        <w:rPr>
          <w:sz w:val="20"/>
          <w:szCs w:val="20"/>
          <w:lang w:val="ru-RU" w:eastAsia="uk-UA"/>
        </w:rPr>
        <w:t xml:space="preserve"> </w:t>
      </w:r>
      <w:r w:rsidRPr="00FE760B">
        <w:rPr>
          <w:b/>
          <w:sz w:val="20"/>
          <w:szCs w:val="20"/>
          <w:lang w:eastAsia="uk-UA"/>
        </w:rPr>
        <w:t>Результати</w:t>
      </w:r>
      <w:r w:rsidRPr="00FE760B">
        <w:rPr>
          <w:sz w:val="20"/>
          <w:szCs w:val="20"/>
          <w:lang w:eastAsia="uk-UA"/>
        </w:rPr>
        <w:t xml:space="preserve">. Виявлено три організаційні моделі. IPC повністю інтегрований у систему ВАДА, де освіта є обов’язковою, але допоміжною щодо тестування. INAS займає проміжну позицію, застосовуючи адаптовані процедури з обмеженим охопленням тестуванням. Special Olympics функціонує поза Кодексом ВАДА і використовує освіту як єдиний антидопінговий інструмент. Емпіричні дані підтверджують, що стандартні процедури є структурно несумісними з потребами спортсменів з порушеннями інтелектуального розвитку. Освітня модель SO залучає спортсменів, тренерів і родини як взаємопов’язаних акторів, а ціннісно-орієнтована освіта доведено є ефективнішою за санкційний підхід. </w:t>
      </w:r>
      <w:r w:rsidRPr="00FE760B">
        <w:rPr>
          <w:b/>
          <w:sz w:val="20"/>
          <w:szCs w:val="20"/>
          <w:lang w:eastAsia="uk-UA"/>
        </w:rPr>
        <w:t>Висновки</w:t>
      </w:r>
      <w:r w:rsidRPr="00FE760B">
        <w:rPr>
          <w:sz w:val="20"/>
          <w:szCs w:val="20"/>
          <w:lang w:eastAsia="uk-UA"/>
        </w:rPr>
        <w:t>. Антидопінгова освіта виконує різні регуляторні функції залежно від місії організації та характеристик цільової групи. Підхід Special Olympics, що замінює тестування освітою, є не управлінською прогалиною, а контекстуально обґрунтованою стратегією, заснованою на правозахисних принципах щодо спортсменів з порушеннями інтелектуального розвитку.</w:t>
      </w:r>
    </w:p>
    <w:p w:rsidR="00FE760B" w:rsidRPr="00FE760B" w:rsidRDefault="00FE760B" w:rsidP="00FE760B">
      <w:pPr>
        <w:spacing w:after="0" w:line="240" w:lineRule="auto"/>
        <w:ind w:firstLine="708"/>
        <w:jc w:val="both"/>
        <w:rPr>
          <w:sz w:val="20"/>
          <w:szCs w:val="20"/>
          <w:lang w:eastAsia="uk-UA"/>
        </w:rPr>
      </w:pPr>
      <w:r w:rsidRPr="00FE760B">
        <w:rPr>
          <w:b/>
          <w:bCs/>
          <w:sz w:val="20"/>
          <w:szCs w:val="20"/>
          <w:lang w:eastAsia="uk-UA"/>
        </w:rPr>
        <w:t>Ключові слова:</w:t>
      </w:r>
      <w:r w:rsidRPr="00FE760B">
        <w:rPr>
          <w:sz w:val="20"/>
          <w:szCs w:val="20"/>
          <w:lang w:eastAsia="uk-UA"/>
        </w:rPr>
        <w:t xml:space="preserve"> антидопінгова освіта, Special Olympics, IPC, INAS, адаптивний спорт, порушення інтелектуального розвитку, ВАДА, порівняльний аналіз.</w:t>
      </w:r>
    </w:p>
    <w:p w:rsidR="00FE760B" w:rsidRPr="00FE760B" w:rsidRDefault="00FE760B" w:rsidP="00FE760B">
      <w:pPr>
        <w:spacing w:after="0" w:line="240" w:lineRule="auto"/>
        <w:ind w:firstLine="708"/>
        <w:jc w:val="both"/>
        <w:rPr>
          <w:b/>
          <w:bCs/>
          <w:sz w:val="20"/>
          <w:szCs w:val="20"/>
          <w:lang w:eastAsia="uk-UA"/>
        </w:rPr>
      </w:pPr>
    </w:p>
    <w:p w:rsidR="00FE760B" w:rsidRPr="00FE760B" w:rsidRDefault="00FE760B" w:rsidP="00FE760B">
      <w:pPr>
        <w:spacing w:after="0" w:line="240" w:lineRule="auto"/>
        <w:ind w:firstLine="708"/>
        <w:jc w:val="both"/>
        <w:rPr>
          <w:sz w:val="20"/>
          <w:szCs w:val="20"/>
          <w:lang w:val="en-GB" w:eastAsia="uk-UA"/>
        </w:rPr>
      </w:pPr>
      <w:r w:rsidRPr="00FE760B">
        <w:rPr>
          <w:b/>
          <w:bCs/>
          <w:sz w:val="20"/>
          <w:szCs w:val="20"/>
          <w:lang w:val="en-GB" w:eastAsia="uk-UA"/>
        </w:rPr>
        <w:t xml:space="preserve">Abstract. </w:t>
      </w:r>
      <w:r w:rsidRPr="00FE760B">
        <w:rPr>
          <w:b/>
          <w:sz w:val="20"/>
          <w:szCs w:val="20"/>
          <w:lang w:val="en-GB" w:eastAsia="uk-UA"/>
        </w:rPr>
        <w:t>Introduction</w:t>
      </w:r>
      <w:r w:rsidRPr="00FE760B">
        <w:rPr>
          <w:sz w:val="20"/>
          <w:szCs w:val="20"/>
          <w:lang w:val="en-GB" w:eastAsia="uk-UA"/>
        </w:rPr>
        <w:t xml:space="preserve">. The World Anti-Doping Agency’s (WADA) regulatory framework was developed primarily for elite competitive sport and does not account for the organizational specificities of adaptive sport. The introduction of the International Standard for Education (ISE) as a mandatory component of the 2021 World Anti-Doping Code elevated anti-doping education to independent regulatory status. However, recent studies (2022–2025) reveal a significant gap between normative requirements and actual implementation, particularly for athletes with intellectual impairments. The </w:t>
      </w:r>
      <w:r w:rsidRPr="00FE760B">
        <w:rPr>
          <w:b/>
          <w:sz w:val="20"/>
          <w:szCs w:val="20"/>
          <w:lang w:val="en-GB" w:eastAsia="uk-UA"/>
        </w:rPr>
        <w:t>purpose</w:t>
      </w:r>
      <w:r w:rsidRPr="00FE760B">
        <w:rPr>
          <w:sz w:val="20"/>
          <w:szCs w:val="20"/>
          <w:lang w:val="en-GB" w:eastAsia="uk-UA"/>
        </w:rPr>
        <w:t xml:space="preserve"> of this study was to characterize the role of anti-doping education in adaptive sport and to conduct a comparative analysis of the approaches applied by the International Paralympic Committee (IPC), the International Federation for Para Athletes with Intellectual Impairments (INAS), and Special Olympics (SO). </w:t>
      </w:r>
      <w:r w:rsidRPr="00FE760B">
        <w:rPr>
          <w:b/>
          <w:sz w:val="20"/>
          <w:szCs w:val="20"/>
          <w:lang w:val="en-GB" w:eastAsia="uk-UA"/>
        </w:rPr>
        <w:t>Material and Methods</w:t>
      </w:r>
      <w:r w:rsidRPr="00FE760B">
        <w:rPr>
          <w:sz w:val="20"/>
          <w:szCs w:val="20"/>
          <w:lang w:val="en-GB" w:eastAsia="uk-UA"/>
        </w:rPr>
        <w:t xml:space="preserve">. The study employed comparative analysis, document analysis of regulatory acts (WADA Code 2021, IPC and INAS rules, Special Olympics Anti-Doping Policy 2021), systematic review of peer-reviewed literature (2020–2025), and an ecosystem approach to organizational analysis. A total of 19 sources were analyzed, including empirical studies retrieved through the Consensus academic database. </w:t>
      </w:r>
      <w:r w:rsidRPr="00FE760B">
        <w:rPr>
          <w:b/>
          <w:sz w:val="20"/>
          <w:szCs w:val="20"/>
          <w:lang w:val="en-GB" w:eastAsia="uk-UA"/>
        </w:rPr>
        <w:t>Results</w:t>
      </w:r>
      <w:r w:rsidRPr="00FE760B">
        <w:rPr>
          <w:sz w:val="20"/>
          <w:szCs w:val="20"/>
          <w:lang w:val="en-GB" w:eastAsia="uk-UA"/>
        </w:rPr>
        <w:t xml:space="preserve">. Three organizational models were identified. IPC fully integrates anti-doping education within the WADA framework, where education is mandatory but secondary to testing and sanctions. INAS occupies an intermediate position, applying adapted WADA procedures with limited testing coverage. Special Olympics operates outside the WADA Code, using education as its sole anti-doping instrument. Empirical evidence confirms that standard anti-doping procedures are structurally incompatible with the needs of athletes with intellectual impairments: 27% of elite para athletes have never received anti-doping education, and a significant portion cannot comply with standard testing procedures without assistance. The SO educational model engages athletes, coaches, and families as interconnected actors, with values-based education shown to be more effective than punitive approaches. </w:t>
      </w:r>
      <w:r w:rsidRPr="00FE760B">
        <w:rPr>
          <w:b/>
          <w:sz w:val="20"/>
          <w:szCs w:val="20"/>
          <w:lang w:val="en-GB" w:eastAsia="uk-UA"/>
        </w:rPr>
        <w:t>Conclusions</w:t>
      </w:r>
      <w:r w:rsidRPr="00FE760B">
        <w:rPr>
          <w:sz w:val="20"/>
          <w:szCs w:val="20"/>
          <w:lang w:val="en-GB" w:eastAsia="uk-UA"/>
        </w:rPr>
        <w:t>. Anti-doping education fulfills different regulatory functions depending on organizational mission and athlete population. The SO approach of replacing testing with education is not a governance deficit but a context-appropriate strategy grounded in athlete rights principles. The model’s effectiveness depends critically on the quality and systematic delivery of educational programs, with coaches serving as the primary channel of anti-doping socialization in the absence of external oversight.</w:t>
      </w:r>
    </w:p>
    <w:p w:rsidR="00FE760B" w:rsidRPr="00FE760B" w:rsidRDefault="00FE760B" w:rsidP="00FE760B">
      <w:pPr>
        <w:spacing w:after="0" w:line="240" w:lineRule="auto"/>
        <w:ind w:firstLine="708"/>
        <w:jc w:val="both"/>
        <w:rPr>
          <w:sz w:val="20"/>
          <w:szCs w:val="20"/>
          <w:lang w:val="en-GB" w:eastAsia="uk-UA"/>
        </w:rPr>
      </w:pPr>
      <w:r w:rsidRPr="00FE760B">
        <w:rPr>
          <w:b/>
          <w:sz w:val="20"/>
          <w:szCs w:val="20"/>
          <w:lang w:val="en-GB" w:eastAsia="uk-UA"/>
        </w:rPr>
        <w:t>Keywords</w:t>
      </w:r>
      <w:r w:rsidRPr="00FE760B">
        <w:rPr>
          <w:sz w:val="20"/>
          <w:szCs w:val="20"/>
          <w:lang w:val="en-GB" w:eastAsia="uk-UA"/>
        </w:rPr>
        <w:t>: anti-doping education, Special Olympics, IPC, INAS, adaptive sport, intellectual impairment, WADA, comparative analysis.</w:t>
      </w:r>
    </w:p>
    <w:p w:rsidR="00FE760B" w:rsidRPr="00FE760B" w:rsidRDefault="00FE760B" w:rsidP="00FE760B">
      <w:pPr>
        <w:spacing w:after="0" w:line="240" w:lineRule="auto"/>
        <w:ind w:firstLine="708"/>
        <w:jc w:val="both"/>
        <w:rPr>
          <w:sz w:val="24"/>
          <w:szCs w:val="24"/>
          <w:lang w:eastAsia="uk-UA"/>
        </w:rPr>
      </w:pPr>
    </w:p>
    <w:p w:rsidR="006D3BDB" w:rsidRDefault="006D3BDB" w:rsidP="00FE760B">
      <w:pPr>
        <w:framePr w:w="9481" w:h="653" w:hRule="exact" w:wrap="auto" w:vAnchor="page" w:hAnchor="page" w:x="1464" w:y="15609"/>
        <w:spacing w:after="0" w:line="240" w:lineRule="auto"/>
        <w:ind w:left="33" w:right="-1"/>
        <w:rPr>
          <w:rFonts w:eastAsia="Calibri"/>
          <w:sz w:val="20"/>
          <w:szCs w:val="20"/>
          <w:lang w:eastAsia="uk-UA"/>
        </w:rPr>
      </w:pPr>
    </w:p>
    <w:p w:rsidR="00FE760B" w:rsidRPr="00FE760B" w:rsidRDefault="00FE760B" w:rsidP="00FE760B">
      <w:pPr>
        <w:framePr w:w="9481" w:h="653" w:hRule="exact" w:wrap="auto" w:vAnchor="page" w:hAnchor="page" w:x="1464" w:y="15609"/>
        <w:spacing w:after="0" w:line="240" w:lineRule="auto"/>
        <w:ind w:left="33" w:right="-1"/>
        <w:rPr>
          <w:rFonts w:eastAsia="Calibri"/>
          <w:sz w:val="20"/>
          <w:szCs w:val="20"/>
          <w:lang w:eastAsia="uk-UA"/>
        </w:rPr>
      </w:pPr>
      <w:r w:rsidRPr="00FE760B">
        <w:rPr>
          <w:rFonts w:eastAsia="Calibri"/>
          <w:sz w:val="20"/>
          <w:szCs w:val="20"/>
          <w:lang w:eastAsia="uk-UA"/>
        </w:rPr>
        <w:t>©</w:t>
      </w:r>
      <w:r w:rsidRPr="00FE760B">
        <w:rPr>
          <w:rFonts w:eastAsia="Calibri"/>
          <w:spacing w:val="33"/>
          <w:sz w:val="20"/>
          <w:szCs w:val="20"/>
          <w:lang w:eastAsia="uk-UA"/>
        </w:rPr>
        <w:t xml:space="preserve"> </w:t>
      </w:r>
      <w:r w:rsidRPr="00FE760B">
        <w:rPr>
          <w:rFonts w:eastAsia="Calibri"/>
          <w:bCs/>
          <w:sz w:val="20"/>
          <w:szCs w:val="20"/>
          <w:lang w:eastAsia="uk-UA"/>
        </w:rPr>
        <w:t>Гончаренко Є., Анікєєв Д., Степанюк О.,</w:t>
      </w:r>
      <w:r w:rsidRPr="00FE760B">
        <w:rPr>
          <w:rFonts w:eastAsia="Calibri"/>
          <w:spacing w:val="1"/>
          <w:sz w:val="20"/>
          <w:szCs w:val="20"/>
          <w:lang w:eastAsia="uk-UA"/>
        </w:rPr>
        <w:t xml:space="preserve"> 2026</w:t>
      </w:r>
      <w:r w:rsidRPr="00FE760B">
        <w:rPr>
          <w:rFonts w:eastAsia="Calibri"/>
          <w:spacing w:val="1"/>
          <w:sz w:val="20"/>
          <w:szCs w:val="20"/>
          <w:lang w:eastAsia="uk-UA"/>
        </w:rPr>
        <w:tab/>
      </w:r>
      <w:r w:rsidRPr="00FE760B">
        <w:rPr>
          <w:rFonts w:eastAsia="Calibri"/>
          <w:spacing w:val="1"/>
          <w:sz w:val="20"/>
          <w:szCs w:val="20"/>
          <w:lang w:eastAsia="uk-UA"/>
        </w:rPr>
        <w:tab/>
        <w:t>Увесь контент ліцензовано за умовами СС BY 4.0</w:t>
      </w:r>
    </w:p>
    <w:p w:rsidR="00FE760B" w:rsidRPr="00FE760B" w:rsidRDefault="00FE760B" w:rsidP="00FE760B">
      <w:pPr>
        <w:spacing w:after="0" w:line="240" w:lineRule="auto"/>
        <w:ind w:firstLine="708"/>
        <w:jc w:val="both"/>
        <w:rPr>
          <w:sz w:val="24"/>
          <w:szCs w:val="24"/>
          <w:lang w:eastAsia="uk-UA"/>
        </w:rPr>
      </w:pPr>
      <w:r w:rsidRPr="00FE760B">
        <w:rPr>
          <w:b/>
          <w:bCs/>
          <w:sz w:val="24"/>
          <w:szCs w:val="24"/>
          <w:lang w:eastAsia="uk-UA"/>
        </w:rPr>
        <w:t xml:space="preserve">Постановка проблеми й аналіз результатів останніх досліджень. </w:t>
      </w:r>
      <w:r w:rsidRPr="00FE760B">
        <w:rPr>
          <w:sz w:val="24"/>
          <w:szCs w:val="24"/>
          <w:lang w:eastAsia="uk-UA"/>
        </w:rPr>
        <w:t xml:space="preserve">Антидопінгова система ВАДА формувалася передусім під потреби великого змагального спорту і не враховує специфіки організацій, що працюють зі спортсменами з порушеннями розвитку. Ця невідповідність стала особливо помітною після того, як Кодекс ВАДА у редакції 2021 р. запровадив Міжнародний стандарт з освіти як </w:t>
      </w:r>
      <w:r w:rsidRPr="00FE760B">
        <w:rPr>
          <w:sz w:val="24"/>
          <w:szCs w:val="24"/>
          <w:lang w:eastAsia="uk-UA"/>
        </w:rPr>
        <w:lastRenderedPageBreak/>
        <w:t>обов’язковий компонент для всіх організацій-підписантів, надавши антидопінговій освіті самостійного нормативного статусу. Водночас зарубіжні дослідження 2022–2025 рр. засвідчили суттєвий розрив між нормою та практикою. Значна частина паралімпійців ніколи не отримувала антидопінгової освіти і не проходила допінг-контролю [</w:t>
      </w:r>
      <w:r w:rsidRPr="00FE760B">
        <w:rPr>
          <w:sz w:val="24"/>
          <w:szCs w:val="24"/>
          <w:lang w:val="ru-RU" w:eastAsia="uk-UA"/>
        </w:rPr>
        <w:t>1</w:t>
      </w:r>
      <w:r w:rsidRPr="00FE760B">
        <w:rPr>
          <w:sz w:val="24"/>
          <w:szCs w:val="24"/>
          <w:lang w:eastAsia="uk-UA"/>
        </w:rPr>
        <w:t>,</w:t>
      </w:r>
      <w:r w:rsidRPr="00FE760B">
        <w:rPr>
          <w:sz w:val="24"/>
          <w:szCs w:val="24"/>
          <w:lang w:val="ru-RU" w:eastAsia="uk-UA"/>
        </w:rPr>
        <w:t>2</w:t>
      </w:r>
      <w:r w:rsidRPr="00FE760B">
        <w:rPr>
          <w:sz w:val="24"/>
          <w:szCs w:val="24"/>
          <w:lang w:eastAsia="uk-UA"/>
        </w:rPr>
        <w:t>], а наявні освітні матеріали є недоступними для спортсменів з порушеннями інтелектуального розвитку [</w:t>
      </w:r>
      <w:r w:rsidRPr="00FE760B">
        <w:rPr>
          <w:sz w:val="24"/>
          <w:szCs w:val="24"/>
          <w:lang w:val="ru-RU" w:eastAsia="uk-UA"/>
        </w:rPr>
        <w:t>3</w:t>
      </w:r>
      <w:r w:rsidRPr="00FE760B">
        <w:rPr>
          <w:sz w:val="24"/>
          <w:szCs w:val="24"/>
          <w:lang w:eastAsia="uk-UA"/>
        </w:rPr>
        <w:t>]. Це свідчить про те, що питання антидопінгової освіти в адаптивному спорті не може бути вирішене через просте перенесення загальних стандартів – воно потребує аналізу конкретних організаційних моделей та їхньої відповідності реальним умовам. В українській науці антидопінгова освіта досліджується переважно у контексті спорту вищих досягнень [4,5]; порівняльний аналіз її ролі в організаціях адаптивного спорту – IPC, INAS та Special Olympics – досі не здійснювався, що визначає актуальність і наукову новизну цього дослідження.</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Дослідження антидопінгової проблематики в паралімпійському спорті та спорті осіб з порушеннями отримало значний розвиток у 2020-х рр. Першим дослідженням, що безпосередньо зосередилося на досвіді спортсменів з порушеннями інтелектуального розвитку, стала праця Hurst et al. [3]. Автори встановили, що ці атлети усвідомлюють необхідність боротьби з допінгом, однак відчувають значні труднощі з розумінням антидопінгових процедур і повідомляють про емоційний дистрес під час допінг-контролю; антидопінгові освітні матеріали є фактично недоступними для цієї аудиторії. Широке міжнародне охоплення паралімпійців забезпечено у дослідженні Qvarfordt et al. [</w:t>
      </w:r>
      <w:r w:rsidRPr="00FE760B">
        <w:rPr>
          <w:sz w:val="24"/>
          <w:szCs w:val="24"/>
          <w:lang w:val="ru-RU" w:eastAsia="uk-UA"/>
        </w:rPr>
        <w:t>2</w:t>
      </w:r>
      <w:r w:rsidRPr="00FE760B">
        <w:rPr>
          <w:sz w:val="24"/>
          <w:szCs w:val="24"/>
          <w:lang w:eastAsia="uk-UA"/>
        </w:rPr>
        <w:t>]. Серед 109 елітних паралімпійців з 25 країн 27 % ніколи не отримували антидопінгової освіти, понад половина ніколи не проходили допінг-тест, а чверть тих, кого тестували, не змогли надати зразок без сторонньої допомоги. Аналогічне дослідження шведських паралімпійців [</w:t>
      </w:r>
      <w:r w:rsidRPr="00FE760B">
        <w:rPr>
          <w:sz w:val="24"/>
          <w:szCs w:val="24"/>
          <w:lang w:val="ru-RU" w:eastAsia="uk-UA"/>
        </w:rPr>
        <w:t>1</w:t>
      </w:r>
      <w:r w:rsidRPr="00FE760B">
        <w:rPr>
          <w:sz w:val="24"/>
          <w:szCs w:val="24"/>
          <w:lang w:eastAsia="uk-UA"/>
        </w:rPr>
        <w:t>] показало, що 35 % з 66 спортсменів не мали жодної антидопінгової освіти. При цьому ті, хто її отримував, почувалися значно впевненіше щодо дотримання вимог.</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Дослідження тренерів у паралімпійському спорті [6] виявило, що вони схильні перекладати відповідальність за антидопінгову освіту на національні антидопінгові центри (далі – НАДО), не беручи її на себе. Дослідження 16 паралімпійців з Австрії та Великої Британії [7] показало, що класифікаційне шахрайство сприймається спортсменами як найбільша загроза чесності – навіть більша, ніж власне допінг. Blank et al. [</w:t>
      </w:r>
      <w:r w:rsidRPr="00FE760B">
        <w:rPr>
          <w:sz w:val="24"/>
          <w:szCs w:val="24"/>
          <w:lang w:val="ru-RU" w:eastAsia="uk-UA"/>
        </w:rPr>
        <w:t>8</w:t>
      </w:r>
      <w:r w:rsidRPr="00FE760B">
        <w:rPr>
          <w:sz w:val="24"/>
          <w:szCs w:val="24"/>
          <w:lang w:eastAsia="uk-UA"/>
        </w:rPr>
        <w:t>] підтвердили загально низьку готовність до допінгу та водночас встановили, що для третини спортсменів допінг-контроль був першим контактом з антидопінговою системою.</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Концептуальне обґрунтування правозахисного виміру антидопінгової проблематики запропоновано Schneider et al. [9], які застосували феміністичну біоетику та теорії вразливості. Автори доводять, що санкційно-орієнтована система недостатньо захищає вразливих спортсменів і потребує переорієнтації на превентивну освіту. Системний вимір допінгу розкрито у систематичному огляді Naughton et al. [</w:t>
      </w:r>
      <w:r w:rsidRPr="00FE760B">
        <w:rPr>
          <w:sz w:val="24"/>
          <w:szCs w:val="24"/>
          <w:lang w:val="ru-RU" w:eastAsia="uk-UA"/>
        </w:rPr>
        <w:t>10</w:t>
      </w:r>
      <w:r w:rsidRPr="00FE760B">
        <w:rPr>
          <w:sz w:val="24"/>
          <w:szCs w:val="24"/>
          <w:lang w:eastAsia="uk-UA"/>
        </w:rPr>
        <w:t>]. Як зазначають науковці – допінг є системною властивістю спортивного середовища, а тренер і його відносини зі спортсменом – ключовими факторами допінгових рішень.</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Ефективність антидопінгової освіти підтверджена Barkoukis et al. [11] на вибірці 1328 спортсменів з 6 країн: комплексна, ціннісно-орієнтована освіта суттєво підвищує сприйняття легітимності антидопінгової системи та готовність її підтримувати порівняно з суто інформаційним підходом. М. Дутчак та К. Коваль [</w:t>
      </w:r>
      <w:r w:rsidRPr="00FE760B">
        <w:rPr>
          <w:sz w:val="24"/>
          <w:szCs w:val="24"/>
          <w:lang w:val="ru-RU" w:eastAsia="uk-UA"/>
        </w:rPr>
        <w:t>4</w:t>
      </w:r>
      <w:r w:rsidRPr="00FE760B">
        <w:rPr>
          <w:sz w:val="24"/>
          <w:szCs w:val="24"/>
          <w:lang w:eastAsia="uk-UA"/>
        </w:rPr>
        <w:t>,</w:t>
      </w:r>
      <w:r w:rsidRPr="00FE760B">
        <w:rPr>
          <w:sz w:val="24"/>
          <w:szCs w:val="24"/>
          <w:lang w:val="ru-RU" w:eastAsia="uk-UA"/>
        </w:rPr>
        <w:t>5</w:t>
      </w:r>
      <w:r w:rsidRPr="00FE760B">
        <w:rPr>
          <w:sz w:val="24"/>
          <w:szCs w:val="24"/>
          <w:lang w:eastAsia="uk-UA"/>
        </w:rPr>
        <w:t>] показали, що первинні антидопінгові знання формуються переважно через неформальні канали – від тренерів, медіа та соціальних мереж.</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McConkey et al. [</w:t>
      </w:r>
      <w:r w:rsidRPr="00FE760B">
        <w:rPr>
          <w:sz w:val="24"/>
          <w:szCs w:val="24"/>
          <w:lang w:val="en-US" w:eastAsia="uk-UA"/>
        </w:rPr>
        <w:t>12</w:t>
      </w:r>
      <w:r w:rsidRPr="00FE760B">
        <w:rPr>
          <w:sz w:val="24"/>
          <w:szCs w:val="24"/>
          <w:lang w:eastAsia="uk-UA"/>
        </w:rPr>
        <w:t>] та Asunta et al. [</w:t>
      </w:r>
      <w:r w:rsidRPr="00FE760B">
        <w:rPr>
          <w:sz w:val="24"/>
          <w:szCs w:val="24"/>
          <w:lang w:val="ru-RU" w:eastAsia="uk-UA"/>
        </w:rPr>
        <w:t>1</w:t>
      </w:r>
      <w:r w:rsidRPr="00FE760B">
        <w:rPr>
          <w:sz w:val="24"/>
          <w:szCs w:val="24"/>
          <w:lang w:eastAsia="uk-UA"/>
        </w:rPr>
        <w:t xml:space="preserve">3] показали, що для атлетів SO участь у спорті є насамперед досвідом приналежності та соціальної взаємодії, а не змаганням за результат. Саме ця ціннісна орієнтація визначає логіку освітнього підходу SO до </w:t>
      </w:r>
      <w:r w:rsidRPr="00FE760B">
        <w:rPr>
          <w:sz w:val="24"/>
          <w:szCs w:val="24"/>
          <w:lang w:eastAsia="uk-UA"/>
        </w:rPr>
        <w:lastRenderedPageBreak/>
        <w:t>антидопінгового регулювання ­– формування культури чесної гри через цінності є органічним продовженням місії організації, тоді як санкційний контроль суперечив би її основним принципам.</w:t>
      </w:r>
    </w:p>
    <w:p w:rsidR="00FE760B" w:rsidRPr="00FE760B" w:rsidRDefault="00FE760B" w:rsidP="00FE760B">
      <w:pPr>
        <w:spacing w:after="0" w:line="240" w:lineRule="auto"/>
        <w:ind w:firstLine="708"/>
        <w:jc w:val="both"/>
        <w:rPr>
          <w:sz w:val="24"/>
          <w:szCs w:val="24"/>
          <w:lang w:eastAsia="uk-UA"/>
        </w:rPr>
      </w:pPr>
      <w:r w:rsidRPr="00FE760B">
        <w:rPr>
          <w:sz w:val="24"/>
          <w:szCs w:val="24"/>
          <w:lang w:eastAsia="uk-UA"/>
        </w:rPr>
        <w:t>Таким чином, аналіз літератури засвідчує, що наявні дослідження зробили важливий внесок у розуміння антидопінгової проблематики в адаптивному спорті, однак залишають суттєві прогалини. Більшість з них зосереджені на паралімпійському спорті з розвиненою системою зовнішнього контролю, тоді як організації, що функціонують поза Кодексом ВАДА, залишаються практично недослідженими. Жодне дослідження не здійснювало порівняльного аналізу антидопінгових освітніх моделей IPC, INAS та SO, а ефективність ціннісно-орієнтованої освіти для спортсменів з порушеннями інтелектуального розвитку досі не перевірена емпірично. Ці прогалини визначають мету і наукову новизну цього дослідження.</w:t>
      </w:r>
    </w:p>
    <w:p w:rsidR="00FE760B" w:rsidRPr="00FE760B" w:rsidRDefault="00FE760B" w:rsidP="00FE760B">
      <w:pPr>
        <w:spacing w:after="0" w:line="240" w:lineRule="auto"/>
        <w:ind w:firstLine="720"/>
        <w:jc w:val="both"/>
        <w:rPr>
          <w:sz w:val="24"/>
          <w:szCs w:val="24"/>
          <w:lang w:eastAsia="uk-UA"/>
        </w:rPr>
      </w:pPr>
      <w:r w:rsidRPr="00FE760B">
        <w:rPr>
          <w:b/>
          <w:bCs/>
          <w:sz w:val="24"/>
          <w:szCs w:val="24"/>
          <w:lang w:eastAsia="uk-UA"/>
        </w:rPr>
        <w:t>Мета статті</w:t>
      </w:r>
      <w:r w:rsidRPr="00FE760B">
        <w:rPr>
          <w:sz w:val="24"/>
          <w:szCs w:val="24"/>
          <w:lang w:eastAsia="uk-UA"/>
        </w:rPr>
        <w:t xml:space="preserve"> – охарактеризувати роль антидопінгової освіти в інституційних моделях адаптивного спорту та здійснити порівняльний аналіз підходів IPC, INAS та Special Olympics.</w:t>
      </w:r>
    </w:p>
    <w:p w:rsidR="00FE760B" w:rsidRPr="00FE760B" w:rsidRDefault="00FE760B" w:rsidP="00FE760B">
      <w:pPr>
        <w:spacing w:after="0" w:line="240" w:lineRule="auto"/>
        <w:ind w:firstLine="720"/>
        <w:jc w:val="both"/>
        <w:rPr>
          <w:sz w:val="24"/>
          <w:szCs w:val="24"/>
          <w:lang w:eastAsia="uk-UA"/>
        </w:rPr>
      </w:pPr>
      <w:r w:rsidRPr="00FE760B">
        <w:rPr>
          <w:b/>
          <w:bCs/>
          <w:sz w:val="24"/>
          <w:szCs w:val="24"/>
          <w:lang w:eastAsia="uk-UA"/>
        </w:rPr>
        <w:t>Матеріали і методи.</w:t>
      </w:r>
      <w:r w:rsidRPr="00FE760B">
        <w:rPr>
          <w:sz w:val="24"/>
          <w:szCs w:val="24"/>
          <w:lang w:eastAsia="uk-UA"/>
        </w:rPr>
        <w:t xml:space="preserve"> Джерельну базу дослідження склали дві групи матеріалів. Перша група – нормативні документи організацій: Всесвітній антидопінговий кодекс ВАДА 2021 р. з Міжнародним стандартом з освіти (ISE), правила IPC та INAS щодо антидопінгового контролю, офіційна антидопінгова позиція Special Olympics (2021). Друга група – наукова література за 2020-2025 рр., відібрана через академічну базу даних Consensus. Загалом проаналізовано 19 джерел, серед яких емпіричні дослідження, систематичні огляди та концептуальні роботи.</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Порівняльний аналіз застосовувався для зіставлення організаційних моделей за єдиними критеріями: наявність та обсяг допінг-тестування, правова база, система санкцій, місія організації та роль антидопінгової освіти. Документальний аналіз забезпечив вивчення нормативних актів щодо їхнього змісту, обсягу повноважень та практичних механізмів реалізації. Систематизація наукової літератури здійснювалася за тематичними блоками: антидопінговий досвід спортсменів з порушеннями інтелектуального розвитку, роль тренера в антидопінговій освіті, ефективність ціннісно-орієнтованих підходів, соціальна інклюзія в SO. Екосистемний підхід використовувався для аналізу антидопінгової освіти як елементу ширшої системи відносин між акторами організації.</w:t>
      </w:r>
    </w:p>
    <w:p w:rsidR="00FE760B" w:rsidRPr="00FE760B" w:rsidRDefault="00FE760B" w:rsidP="00FE760B">
      <w:pPr>
        <w:spacing w:after="0" w:line="240" w:lineRule="auto"/>
        <w:ind w:firstLine="720"/>
        <w:jc w:val="both"/>
        <w:rPr>
          <w:sz w:val="24"/>
          <w:szCs w:val="24"/>
          <w:lang w:eastAsia="uk-UA"/>
        </w:rPr>
      </w:pPr>
      <w:r w:rsidRPr="00FE760B">
        <w:rPr>
          <w:b/>
          <w:bCs/>
          <w:sz w:val="24"/>
          <w:szCs w:val="24"/>
          <w:lang w:eastAsia="uk-UA"/>
        </w:rPr>
        <w:t>Результати дослідження</w:t>
      </w:r>
      <w:r w:rsidRPr="00FE760B">
        <w:rPr>
          <w:sz w:val="24"/>
          <w:szCs w:val="24"/>
          <w:lang w:eastAsia="uk-UA"/>
        </w:rPr>
        <w:t>. Антидопінгове регулювання в сучасному спорті є складним інституційним утворенням. Основу міжнародної системи становить Всесвітній антидопінговий кодекс (Кодекс ВАДА), чинна редакція якого набула чинності з 1 січня 2021 р. [</w:t>
      </w:r>
      <w:r w:rsidRPr="00FE760B">
        <w:rPr>
          <w:sz w:val="24"/>
          <w:szCs w:val="24"/>
          <w:lang w:val="ru-RU" w:eastAsia="uk-UA"/>
        </w:rPr>
        <w:t>14</w:t>
      </w:r>
      <w:r w:rsidRPr="00FE760B">
        <w:rPr>
          <w:sz w:val="24"/>
          <w:szCs w:val="24"/>
          <w:lang w:eastAsia="uk-UA"/>
        </w:rPr>
        <w:t>]. Суттєвим нововведенням є запровадження окремого Міжнародного стандарту з освіти (ISE), що надає антидопінговій освіті статусу обов’язкового компоненту для всіх організацій-підписантів.</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Це нормативне рішення узгоджується з науковими даними. Barkoukis et al. [11] емпірично довели, що комплексна освіта є ефективнішим механізмом формування антидопінгової поведінки, ніж суто санкційний підхід. Naughton et al. [10] у систематичному огляді підтвердили, що допінг є системним явищем, і цілісні освітні втручання є необхідними для його профілактики на рівні всієї спортивної екосистеми.</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З позицій інституційної теорії (North, 1990; Scott, 2001) [15,16] антидопінгова освіта є нормативним і культурно-когнітивним виміром антидопінгової системи: вона формує цінності, переконання та повсякденні практики акторів, тоді як тестування виконує регулятивну функцію. Організації можуть наголошувати на різних вимірах залежно від своєї місії та контексту діяльності. Екосистемний підхід передбачає, що антидопінгова освіта функціонує не ізольовано, а у взаємозв’язку з усіма акторами системи – спортсменами, тренерами, родинами, волонтерами та партнерами.</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lastRenderedPageBreak/>
        <w:t>Три провідні міжнародні організації адаптивного спорту демонструють принципово відмінні підходи до антидопінгового регулювання і, відповідно, до ролі освіти в ньому (табл. 1).</w:t>
      </w:r>
    </w:p>
    <w:p w:rsidR="00FE760B" w:rsidRPr="00FE760B" w:rsidRDefault="00FE760B" w:rsidP="00FE760B">
      <w:pPr>
        <w:spacing w:after="0" w:line="240" w:lineRule="auto"/>
        <w:ind w:firstLine="720"/>
        <w:jc w:val="both"/>
        <w:rPr>
          <w:sz w:val="24"/>
          <w:szCs w:val="24"/>
          <w:lang w:eastAsia="uk-UA"/>
        </w:rPr>
      </w:pPr>
    </w:p>
    <w:p w:rsidR="00FE760B" w:rsidRPr="00FE760B" w:rsidRDefault="00FE760B" w:rsidP="00FE760B">
      <w:pPr>
        <w:spacing w:after="0" w:line="240" w:lineRule="auto"/>
        <w:ind w:firstLine="720"/>
        <w:jc w:val="right"/>
        <w:rPr>
          <w:bCs/>
          <w:i/>
          <w:sz w:val="24"/>
          <w:szCs w:val="24"/>
          <w:lang w:eastAsia="uk-UA"/>
        </w:rPr>
      </w:pPr>
      <w:r w:rsidRPr="00FE760B">
        <w:rPr>
          <w:bCs/>
          <w:i/>
          <w:sz w:val="24"/>
          <w:szCs w:val="24"/>
          <w:lang w:eastAsia="uk-UA"/>
        </w:rPr>
        <w:t>Таблиця 1</w:t>
      </w:r>
    </w:p>
    <w:p w:rsidR="00FE760B" w:rsidRPr="00FE760B" w:rsidRDefault="00FE760B" w:rsidP="00FE760B">
      <w:pPr>
        <w:spacing w:after="0" w:line="240" w:lineRule="auto"/>
        <w:ind w:firstLine="720"/>
        <w:jc w:val="center"/>
        <w:rPr>
          <w:bCs/>
          <w:sz w:val="24"/>
          <w:szCs w:val="24"/>
          <w:lang w:eastAsia="uk-UA"/>
        </w:rPr>
      </w:pPr>
      <w:r w:rsidRPr="00FE760B">
        <w:rPr>
          <w:bCs/>
          <w:sz w:val="24"/>
          <w:szCs w:val="24"/>
          <w:lang w:eastAsia="uk-UA"/>
        </w:rPr>
        <w:t>Порівняльна характеристика підходів до антидопінгового регулювання в організаціях адаптивного спорту</w:t>
      </w:r>
    </w:p>
    <w:tbl>
      <w:tblPr>
        <w:tblW w:w="9097" w:type="dxa"/>
        <w:tblBorders>
          <w:top w:val="single" w:sz="4" w:space="0" w:color="auto"/>
          <w:left w:val="single" w:sz="4" w:space="0" w:color="auto"/>
          <w:bottom w:val="single" w:sz="4" w:space="0" w:color="auto"/>
          <w:right w:val="single" w:sz="4" w:space="0" w:color="auto"/>
        </w:tblBorders>
        <w:tblCellMar>
          <w:left w:w="10" w:type="dxa"/>
          <w:right w:w="10" w:type="dxa"/>
        </w:tblCellMar>
        <w:tblLook w:val="04A0" w:firstRow="1" w:lastRow="0" w:firstColumn="1" w:lastColumn="0" w:noHBand="0" w:noVBand="1"/>
      </w:tblPr>
      <w:tblGrid>
        <w:gridCol w:w="2127"/>
        <w:gridCol w:w="2271"/>
        <w:gridCol w:w="2385"/>
        <w:gridCol w:w="2314"/>
      </w:tblGrid>
      <w:tr w:rsidR="00FE760B" w:rsidRPr="00FE760B" w:rsidTr="00C07F42">
        <w:tc>
          <w:tcPr>
            <w:tcW w:w="2127" w:type="dxa"/>
            <w:tcBorders>
              <w:top w:val="single" w:sz="4" w:space="0" w:color="auto"/>
              <w:bottom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bCs/>
                <w:sz w:val="24"/>
                <w:szCs w:val="24"/>
                <w:lang w:eastAsia="uk-UA"/>
              </w:rPr>
              <w:t>Критерій</w:t>
            </w:r>
          </w:p>
        </w:tc>
        <w:tc>
          <w:tcPr>
            <w:tcW w:w="2271" w:type="dxa"/>
            <w:tcBorders>
              <w:top w:val="single" w:sz="4" w:space="0" w:color="auto"/>
              <w:bottom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bCs/>
                <w:sz w:val="24"/>
                <w:szCs w:val="24"/>
                <w:lang w:eastAsia="uk-UA"/>
              </w:rPr>
              <w:t>IPC</w:t>
            </w:r>
          </w:p>
        </w:tc>
        <w:tc>
          <w:tcPr>
            <w:tcW w:w="2385" w:type="dxa"/>
            <w:tcBorders>
              <w:top w:val="single" w:sz="4" w:space="0" w:color="auto"/>
              <w:bottom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bCs/>
                <w:sz w:val="24"/>
                <w:szCs w:val="24"/>
                <w:lang w:eastAsia="uk-UA"/>
              </w:rPr>
              <w:t>INAS</w:t>
            </w:r>
          </w:p>
        </w:tc>
        <w:tc>
          <w:tcPr>
            <w:tcW w:w="2314" w:type="dxa"/>
            <w:tcBorders>
              <w:top w:val="single" w:sz="4" w:space="0" w:color="auto"/>
              <w:bottom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bCs/>
                <w:sz w:val="24"/>
                <w:szCs w:val="24"/>
                <w:lang w:eastAsia="uk-UA"/>
              </w:rPr>
              <w:t>Special Olympics</w:t>
            </w:r>
          </w:p>
        </w:tc>
      </w:tr>
      <w:tr w:rsidR="00FE760B" w:rsidRPr="00FE760B" w:rsidTr="00C07F42">
        <w:tc>
          <w:tcPr>
            <w:tcW w:w="2127" w:type="dxa"/>
            <w:tcBorders>
              <w:top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rPr>
                <w:sz w:val="24"/>
                <w:szCs w:val="24"/>
                <w:lang w:eastAsia="uk-UA"/>
              </w:rPr>
            </w:pPr>
            <w:r w:rsidRPr="00FE760B">
              <w:rPr>
                <w:sz w:val="24"/>
                <w:szCs w:val="24"/>
                <w:lang w:eastAsia="uk-UA"/>
              </w:rPr>
              <w:t>Допінг-тестування</w:t>
            </w:r>
          </w:p>
        </w:tc>
        <w:tc>
          <w:tcPr>
            <w:tcW w:w="2271" w:type="dxa"/>
            <w:tcBorders>
              <w:top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Повне (ВАДА)</w:t>
            </w:r>
          </w:p>
        </w:tc>
        <w:tc>
          <w:tcPr>
            <w:tcW w:w="2385" w:type="dxa"/>
            <w:tcBorders>
              <w:top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Часткове</w:t>
            </w:r>
          </w:p>
        </w:tc>
        <w:tc>
          <w:tcPr>
            <w:tcW w:w="2314" w:type="dxa"/>
            <w:tcBorders>
              <w:top w:val="single" w:sz="4" w:space="0" w:color="auto"/>
            </w:tcBorders>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Відсутнє</w:t>
            </w:r>
          </w:p>
        </w:tc>
      </w:tr>
      <w:tr w:rsidR="00FE760B" w:rsidRPr="00FE760B" w:rsidTr="00C07F42">
        <w:tc>
          <w:tcPr>
            <w:tcW w:w="2127" w:type="dxa"/>
            <w:tcMar>
              <w:top w:w="80" w:type="dxa"/>
              <w:left w:w="120" w:type="dxa"/>
              <w:bottom w:w="80" w:type="dxa"/>
              <w:right w:w="120" w:type="dxa"/>
            </w:tcMar>
            <w:vAlign w:val="center"/>
          </w:tcPr>
          <w:p w:rsidR="00FE760B" w:rsidRPr="00FE760B" w:rsidRDefault="00FE760B" w:rsidP="00FE760B">
            <w:pPr>
              <w:spacing w:after="0" w:line="240" w:lineRule="auto"/>
              <w:rPr>
                <w:sz w:val="24"/>
                <w:szCs w:val="24"/>
                <w:lang w:eastAsia="uk-UA"/>
              </w:rPr>
            </w:pPr>
            <w:r w:rsidRPr="00FE760B">
              <w:rPr>
                <w:sz w:val="24"/>
                <w:szCs w:val="24"/>
                <w:lang w:eastAsia="uk-UA"/>
              </w:rPr>
              <w:t>Правова база</w:t>
            </w:r>
          </w:p>
        </w:tc>
        <w:tc>
          <w:tcPr>
            <w:tcW w:w="2271"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Кодекс ВАДА</w:t>
            </w:r>
          </w:p>
        </w:tc>
        <w:tc>
          <w:tcPr>
            <w:tcW w:w="2385"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Кодекс ВАДА (адаптований)</w:t>
            </w:r>
          </w:p>
        </w:tc>
        <w:tc>
          <w:tcPr>
            <w:tcW w:w="2314"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Власна філософія [1</w:t>
            </w:r>
            <w:r w:rsidRPr="00FE760B">
              <w:rPr>
                <w:sz w:val="24"/>
                <w:szCs w:val="24"/>
                <w:lang w:val="en-US" w:eastAsia="uk-UA"/>
              </w:rPr>
              <w:t>7</w:t>
            </w:r>
            <w:r w:rsidRPr="00FE760B">
              <w:rPr>
                <w:sz w:val="24"/>
                <w:szCs w:val="24"/>
                <w:lang w:eastAsia="uk-UA"/>
              </w:rPr>
              <w:t>]</w:t>
            </w:r>
          </w:p>
        </w:tc>
      </w:tr>
      <w:tr w:rsidR="00FE760B" w:rsidRPr="00FE760B" w:rsidTr="00C07F42">
        <w:tc>
          <w:tcPr>
            <w:tcW w:w="2127" w:type="dxa"/>
            <w:tcMar>
              <w:top w:w="80" w:type="dxa"/>
              <w:left w:w="120" w:type="dxa"/>
              <w:bottom w:w="80" w:type="dxa"/>
              <w:right w:w="120" w:type="dxa"/>
            </w:tcMar>
            <w:vAlign w:val="center"/>
          </w:tcPr>
          <w:p w:rsidR="00FE760B" w:rsidRPr="00FE760B" w:rsidRDefault="00FE760B" w:rsidP="00FE760B">
            <w:pPr>
              <w:spacing w:after="0" w:line="240" w:lineRule="auto"/>
              <w:rPr>
                <w:sz w:val="24"/>
                <w:szCs w:val="24"/>
                <w:lang w:eastAsia="uk-UA"/>
              </w:rPr>
            </w:pPr>
            <w:r w:rsidRPr="00FE760B">
              <w:rPr>
                <w:sz w:val="24"/>
                <w:szCs w:val="24"/>
                <w:lang w:eastAsia="uk-UA"/>
              </w:rPr>
              <w:t>Цільова група</w:t>
            </w:r>
          </w:p>
        </w:tc>
        <w:tc>
          <w:tcPr>
            <w:tcW w:w="2271"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Різні нозології</w:t>
            </w:r>
          </w:p>
        </w:tc>
        <w:tc>
          <w:tcPr>
            <w:tcW w:w="2385"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Порушення інтелектуального розвитку</w:t>
            </w:r>
          </w:p>
        </w:tc>
        <w:tc>
          <w:tcPr>
            <w:tcW w:w="2314"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Порушення інтелектуального розвитку</w:t>
            </w:r>
          </w:p>
        </w:tc>
      </w:tr>
      <w:tr w:rsidR="00FE760B" w:rsidRPr="00FE760B" w:rsidTr="00C07F42">
        <w:tc>
          <w:tcPr>
            <w:tcW w:w="2127" w:type="dxa"/>
            <w:tcMar>
              <w:top w:w="80" w:type="dxa"/>
              <w:left w:w="120" w:type="dxa"/>
              <w:bottom w:w="80" w:type="dxa"/>
              <w:right w:w="120" w:type="dxa"/>
            </w:tcMar>
            <w:vAlign w:val="center"/>
          </w:tcPr>
          <w:p w:rsidR="00FE760B" w:rsidRPr="00FE760B" w:rsidRDefault="00FE760B" w:rsidP="00FE760B">
            <w:pPr>
              <w:spacing w:after="0" w:line="240" w:lineRule="auto"/>
              <w:rPr>
                <w:sz w:val="24"/>
                <w:szCs w:val="24"/>
                <w:lang w:eastAsia="uk-UA"/>
              </w:rPr>
            </w:pPr>
            <w:r w:rsidRPr="00FE760B">
              <w:rPr>
                <w:sz w:val="24"/>
                <w:szCs w:val="24"/>
                <w:lang w:eastAsia="uk-UA"/>
              </w:rPr>
              <w:t>Санкції</w:t>
            </w:r>
          </w:p>
        </w:tc>
        <w:tc>
          <w:tcPr>
            <w:tcW w:w="2271"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Так (до 4 років)</w:t>
            </w:r>
          </w:p>
        </w:tc>
        <w:tc>
          <w:tcPr>
            <w:tcW w:w="2385"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Так (обмежені)</w:t>
            </w:r>
          </w:p>
        </w:tc>
        <w:tc>
          <w:tcPr>
            <w:tcW w:w="2314"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Відсутні</w:t>
            </w:r>
          </w:p>
        </w:tc>
      </w:tr>
      <w:tr w:rsidR="00FE760B" w:rsidRPr="00FE760B" w:rsidTr="00C07F42">
        <w:tc>
          <w:tcPr>
            <w:tcW w:w="2127" w:type="dxa"/>
            <w:tcMar>
              <w:top w:w="80" w:type="dxa"/>
              <w:left w:w="120" w:type="dxa"/>
              <w:bottom w:w="80" w:type="dxa"/>
              <w:right w:w="120" w:type="dxa"/>
            </w:tcMar>
            <w:vAlign w:val="center"/>
          </w:tcPr>
          <w:p w:rsidR="00FE760B" w:rsidRPr="00FE760B" w:rsidRDefault="00FE760B" w:rsidP="00FE760B">
            <w:pPr>
              <w:spacing w:after="0" w:line="240" w:lineRule="auto"/>
              <w:rPr>
                <w:sz w:val="24"/>
                <w:szCs w:val="24"/>
                <w:lang w:eastAsia="uk-UA"/>
              </w:rPr>
            </w:pPr>
            <w:r w:rsidRPr="00FE760B">
              <w:rPr>
                <w:sz w:val="24"/>
                <w:szCs w:val="24"/>
                <w:lang w:eastAsia="uk-UA"/>
              </w:rPr>
              <w:t>Місія організації</w:t>
            </w:r>
          </w:p>
        </w:tc>
        <w:tc>
          <w:tcPr>
            <w:tcW w:w="2271"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Елітний паралімпійський спорт</w:t>
            </w:r>
          </w:p>
        </w:tc>
        <w:tc>
          <w:tcPr>
            <w:tcW w:w="2385"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Змагальний спорт (ІП)</w:t>
            </w:r>
          </w:p>
        </w:tc>
        <w:tc>
          <w:tcPr>
            <w:tcW w:w="2314"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Інклюзія та розвиток [</w:t>
            </w:r>
            <w:r w:rsidRPr="00FE760B">
              <w:rPr>
                <w:sz w:val="24"/>
                <w:szCs w:val="24"/>
                <w:lang w:val="en-US" w:eastAsia="uk-UA"/>
              </w:rPr>
              <w:t>12</w:t>
            </w:r>
            <w:r w:rsidRPr="00FE760B">
              <w:rPr>
                <w:sz w:val="24"/>
                <w:szCs w:val="24"/>
                <w:lang w:eastAsia="uk-UA"/>
              </w:rPr>
              <w:t>]</w:t>
            </w:r>
          </w:p>
        </w:tc>
      </w:tr>
      <w:tr w:rsidR="00FE760B" w:rsidRPr="00FE760B" w:rsidTr="00C07F42">
        <w:tc>
          <w:tcPr>
            <w:tcW w:w="2127" w:type="dxa"/>
            <w:tcMar>
              <w:top w:w="80" w:type="dxa"/>
              <w:left w:w="120" w:type="dxa"/>
              <w:bottom w:w="80" w:type="dxa"/>
              <w:right w:w="120" w:type="dxa"/>
            </w:tcMar>
            <w:vAlign w:val="center"/>
          </w:tcPr>
          <w:p w:rsidR="00FE760B" w:rsidRPr="00FE760B" w:rsidRDefault="00FE760B" w:rsidP="00FE760B">
            <w:pPr>
              <w:spacing w:after="0" w:line="240" w:lineRule="auto"/>
              <w:rPr>
                <w:sz w:val="24"/>
                <w:szCs w:val="24"/>
                <w:lang w:eastAsia="uk-UA"/>
              </w:rPr>
            </w:pPr>
            <w:r w:rsidRPr="00FE760B">
              <w:rPr>
                <w:sz w:val="24"/>
                <w:szCs w:val="24"/>
                <w:lang w:eastAsia="uk-UA"/>
              </w:rPr>
              <w:t>Роль освіти</w:t>
            </w:r>
          </w:p>
        </w:tc>
        <w:tc>
          <w:tcPr>
            <w:tcW w:w="2271"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Обов’язкова (ISE ВАДА) [</w:t>
            </w:r>
            <w:r w:rsidRPr="00FE760B">
              <w:rPr>
                <w:sz w:val="24"/>
                <w:szCs w:val="24"/>
                <w:lang w:val="en-US" w:eastAsia="uk-UA"/>
              </w:rPr>
              <w:t>14</w:t>
            </w:r>
            <w:r w:rsidRPr="00FE760B">
              <w:rPr>
                <w:sz w:val="24"/>
                <w:szCs w:val="24"/>
                <w:lang w:eastAsia="uk-UA"/>
              </w:rPr>
              <w:t>]</w:t>
            </w:r>
          </w:p>
        </w:tc>
        <w:tc>
          <w:tcPr>
            <w:tcW w:w="2385"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Рекомендована</w:t>
            </w:r>
          </w:p>
        </w:tc>
        <w:tc>
          <w:tcPr>
            <w:tcW w:w="2314" w:type="dxa"/>
            <w:tcMar>
              <w:top w:w="80" w:type="dxa"/>
              <w:left w:w="120" w:type="dxa"/>
              <w:bottom w:w="80" w:type="dxa"/>
              <w:right w:w="120" w:type="dxa"/>
            </w:tcMar>
            <w:vAlign w:val="center"/>
          </w:tcPr>
          <w:p w:rsidR="00FE760B" w:rsidRPr="00FE760B" w:rsidRDefault="00FE760B" w:rsidP="00FE760B">
            <w:pPr>
              <w:spacing w:after="0" w:line="240" w:lineRule="auto"/>
              <w:jc w:val="center"/>
              <w:rPr>
                <w:sz w:val="24"/>
                <w:szCs w:val="24"/>
                <w:lang w:eastAsia="uk-UA"/>
              </w:rPr>
            </w:pPr>
            <w:r w:rsidRPr="00FE760B">
              <w:rPr>
                <w:sz w:val="24"/>
                <w:szCs w:val="24"/>
                <w:lang w:eastAsia="uk-UA"/>
              </w:rPr>
              <w:t>Основний інструмент [1</w:t>
            </w:r>
            <w:r w:rsidRPr="00FE760B">
              <w:rPr>
                <w:sz w:val="24"/>
                <w:szCs w:val="24"/>
                <w:lang w:val="en-US" w:eastAsia="uk-UA"/>
              </w:rPr>
              <w:t>7</w:t>
            </w:r>
            <w:r w:rsidRPr="00FE760B">
              <w:rPr>
                <w:sz w:val="24"/>
                <w:szCs w:val="24"/>
                <w:lang w:eastAsia="uk-UA"/>
              </w:rPr>
              <w:t>]</w:t>
            </w:r>
          </w:p>
        </w:tc>
      </w:tr>
    </w:tbl>
    <w:p w:rsidR="00FE760B" w:rsidRPr="00FE760B" w:rsidRDefault="00FE760B" w:rsidP="00FE760B">
      <w:pPr>
        <w:spacing w:after="0" w:line="240" w:lineRule="auto"/>
        <w:ind w:firstLine="720"/>
        <w:jc w:val="both"/>
        <w:rPr>
          <w:sz w:val="24"/>
          <w:szCs w:val="24"/>
          <w:lang w:eastAsia="uk-UA"/>
        </w:rPr>
      </w:pP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IPC є підписантом Кодексу ВАДА та повністю інтегрований у міжнародну антидопінгову систему. Антидопінгова освіта є обов’язковою відповідно до ISE. Проте навіть у цій системі 27 % елітних паралімпійців ніколи не отримували антидопінгової освіти [2], а понад половина ніколи не проходили допінг-тест [1] – що свідчить про розрив між нормою та практикою. INAS займає проміжну позицію. З 2008 р. організація допущена до паралімпійської програми, що зобов’язало її впровадити антидопінгові процедури. Однак специфічні труднощі, задокументовані Hurst et al. [3], підтверджують, що стандартна модель потребує суттєвої адаптації для осіб з порушеннями інтелектуального розвитку.</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Політика Special Olympics відносно антидопінгової діяльності принципово відрізняється від попередніх організацій. SO не є підписантом Кодексу ВАДА і не впроваджує обов’язкового тестування. Натомість в офіційній антидопінговій позиції [17] організація декларує освіту як основний механізм забезпечення чесного спорту та реалізує освітні програми у партнерстві з ВАДА в рамках ініціативи «True Sport».</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Відмова SO від тестування на користь освіти базується на трьох групах аргументів: правозахисний, практичний, філософський.</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Hurst et al. [3] зазначають, що спортсмени з порушеннями інтелектуального розвитку відчувають емоційний дистрес під час допінг-контролю і не розуміють, навіщо їм взагалі потрібно тестуватися. Schneider et al. [9], спираючись на теорії вразливості, доводять, що примусове тестування без належних адаптацій порушує принципи захисту автономії осіб з порушеннями. Qvarfordt et al. [2] кількісно підтвердили: чверть паратлетів не змогли надати зразок самостійно – для осіб з порушеннями інтелектуального розвитку ця частка є ще вищою.</w:t>
      </w:r>
    </w:p>
    <w:p w:rsidR="00FE760B" w:rsidRPr="00FE760B" w:rsidRDefault="00FE760B" w:rsidP="00FE760B">
      <w:pPr>
        <w:spacing w:after="0" w:line="240" w:lineRule="auto"/>
        <w:ind w:firstLine="708"/>
        <w:jc w:val="both"/>
        <w:rPr>
          <w:sz w:val="24"/>
          <w:szCs w:val="24"/>
          <w:lang w:eastAsia="uk-UA"/>
        </w:rPr>
      </w:pPr>
      <w:r w:rsidRPr="00FE760B">
        <w:rPr>
          <w:sz w:val="24"/>
          <w:szCs w:val="24"/>
          <w:lang w:eastAsia="uk-UA"/>
        </w:rPr>
        <w:t xml:space="preserve">Змагання SO охоплюють понад 170 країн із вкрай різним рівнем розвитку інфраструктури. Ресурсні обмеження є суттєвим бар’єром навіть у розвинених країнах: </w:t>
      </w:r>
      <w:r w:rsidRPr="00FE760B">
        <w:rPr>
          <w:sz w:val="24"/>
          <w:szCs w:val="24"/>
          <w:lang w:eastAsia="uk-UA"/>
        </w:rPr>
        <w:lastRenderedPageBreak/>
        <w:t>Weber et al. [</w:t>
      </w:r>
      <w:r w:rsidRPr="00FE760B">
        <w:rPr>
          <w:sz w:val="24"/>
          <w:szCs w:val="24"/>
          <w:lang w:val="ru-RU" w:eastAsia="uk-UA"/>
        </w:rPr>
        <w:t>6</w:t>
      </w:r>
      <w:r w:rsidRPr="00FE760B">
        <w:rPr>
          <w:sz w:val="24"/>
          <w:szCs w:val="24"/>
          <w:lang w:eastAsia="uk-UA"/>
        </w:rPr>
        <w:t>] констатують глобальну нерівномірність антидопінгових систем у паралімпійському спорті. Крім того, SO застосовує дивізіональну систему (спортсмени змагаються в однорідних групах за рівнем), що знижує стимули до допінгу.</w:t>
      </w:r>
    </w:p>
    <w:p w:rsidR="00FE760B" w:rsidRPr="00FE760B" w:rsidRDefault="00FE760B" w:rsidP="00FE760B">
      <w:pPr>
        <w:spacing w:after="0" w:line="240" w:lineRule="auto"/>
        <w:ind w:firstLine="708"/>
        <w:jc w:val="both"/>
        <w:rPr>
          <w:sz w:val="24"/>
          <w:szCs w:val="24"/>
          <w:lang w:eastAsia="uk-UA"/>
        </w:rPr>
      </w:pPr>
      <w:r w:rsidRPr="00FE760B">
        <w:rPr>
          <w:sz w:val="24"/>
          <w:szCs w:val="24"/>
          <w:lang w:eastAsia="uk-UA"/>
        </w:rPr>
        <w:t>Принцип «level playing field», що є основою логіки ВАДА, має іншу вагу в контексті SO. McConkey et al. [12] та Asunta et al. [13] показали, що для атлетів SO головна цінність – відчуття приналежності та соціальна інклюзія, а не перемога над суперником. Pickett et al. [18] підтвердили, що SO формує стійку спільноту, де довіра між акторами функціонує як альтернатива санкційному контролю. Водночас критичний погляд Giese et al. [19] нагадує, що SO відтворює певні нормативні уявлення про «правильний» розвиток осіб з порушеннями інтелектуального розвитку. Це означає, що освітню модель не слід ідеалізувати – вона потребує систематичного моніторингу та постійного вдосконалення.</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На рівні спортсменів освітня модель SO має конкретні переваги перед тестуванням. Дослідження Hurst et al. [3] показують, що відсутність інвазивних процедур контролю знижує психологічний тиск на атлетів з інтелектуальними порушеннями, тоді як правильно організована освіта – коротка, повторювана впродовж сезону, адаптована до когнітивних можливостей і спрямована одночасно на спортсмена та його допоміжний персонал – здатна сформувати стійку антидопінгову поведінку без травматичних наслідків.</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На рівні тренерів освітня модель SO стикається з найбільшим ризиком. Weber et al. [6] зафіксували, що тренери у паралімпійському спорті схильні перекладати антидопінгову відповідальність на зовнішні організації, не беручи її на себе. В умовах SO, де жодного зовнішнього контролю немає, тренер стає єдиним носієм антидопінгових цінностей у безпосередньому оточенні спортсмена. Дутчак та Коваль [4,5] підтверджують цю закономірність і для українського контексту – саме тренер є головним каналом антидопінгової соціалізації атлетів. Отже, якість і систематичність підготовки тренерів SO визначає ефективність усієї освітньої моделі організації.</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Родини та доглядальники атлетів SO є важливим, але недооціненим актором антидопінгової освіти. Саме вони найближче стежать за повсякденним життям спортсмена, зокрема за станом його здоров’я та вживанням ліків, і тому першими здатні помітити потенційне зловживання. У моделі SO, де відсутній зовнішній контроль, ця близькість перетворює родину на природний освітній та захисний ресурс, що доповнює роль тренера і робить антидопінгову систему організації більш розподіленою і стійкою [</w:t>
      </w:r>
      <w:r w:rsidRPr="00FE760B">
        <w:rPr>
          <w:sz w:val="24"/>
          <w:szCs w:val="24"/>
          <w:lang w:val="ru-RU" w:eastAsia="uk-UA"/>
        </w:rPr>
        <w:t>18</w:t>
      </w:r>
      <w:r w:rsidRPr="00FE760B">
        <w:rPr>
          <w:sz w:val="24"/>
          <w:szCs w:val="24"/>
          <w:lang w:eastAsia="uk-UA"/>
        </w:rPr>
        <w:t>].</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На системному рівні модель SO має структурну перевагу перед організаціями, де тестування є основним регуляторним механізмом. Naughton et al. [</w:t>
      </w:r>
      <w:r w:rsidRPr="00FE760B">
        <w:rPr>
          <w:sz w:val="24"/>
          <w:szCs w:val="24"/>
          <w:lang w:val="ru-RU" w:eastAsia="uk-UA"/>
        </w:rPr>
        <w:t>10</w:t>
      </w:r>
      <w:r w:rsidRPr="00FE760B">
        <w:rPr>
          <w:sz w:val="24"/>
          <w:szCs w:val="24"/>
          <w:lang w:eastAsia="uk-UA"/>
        </w:rPr>
        <w:t>] доводять, що допінг є системним явищем, яке живиться фінансовими стимулами, конкурентним тиском і культурою перемоги за будь-яку ціну. В SO ці чинники є мінімальними: організація не передбачає фінансових призів, не здійснює відбору за рекордами, а дивізіональна система знижує конкурентне напруження між учасниками. У такому середовищі ціннісно-орієнтована освіта, ефективність якої підтверджена Barkoukis et al. [</w:t>
      </w:r>
      <w:r w:rsidRPr="00FE760B">
        <w:rPr>
          <w:sz w:val="24"/>
          <w:szCs w:val="24"/>
          <w:lang w:val="ru-RU" w:eastAsia="uk-UA"/>
        </w:rPr>
        <w:t>11</w:t>
      </w:r>
      <w:r w:rsidRPr="00FE760B">
        <w:rPr>
          <w:sz w:val="24"/>
          <w:szCs w:val="24"/>
          <w:lang w:eastAsia="uk-UA"/>
        </w:rPr>
        <w:t>], є не компромісом і не замінником тестування, а органічним регуляторним механізмом, що відповідає самій природі організації.</w:t>
      </w:r>
    </w:p>
    <w:p w:rsidR="00FE760B" w:rsidRPr="00FE760B" w:rsidRDefault="00FE760B" w:rsidP="00FE760B">
      <w:pPr>
        <w:spacing w:after="0" w:line="240" w:lineRule="auto"/>
        <w:ind w:firstLine="720"/>
        <w:jc w:val="both"/>
        <w:rPr>
          <w:sz w:val="24"/>
          <w:szCs w:val="24"/>
          <w:lang w:eastAsia="uk-UA"/>
        </w:rPr>
      </w:pPr>
      <w:r w:rsidRPr="00FE760B">
        <w:rPr>
          <w:sz w:val="24"/>
          <w:szCs w:val="24"/>
          <w:lang w:eastAsia="uk-UA"/>
        </w:rPr>
        <w:t>Освітня модель SO має і структурну вразливість. Відсутність зовнішнього верифікаційного механізму означає, що її ефективність повністю залежить від добросовісності тренерів і допоміжного персоналу ­– тих самих акторів, яких Weber et al. [6] описують як схильних уникати антидопінгової відповідальності. У міру того як змагальний рівень SO зростає і тиск на результат посилюється, ця залежність стає дедалі більш критичною. Відтак сталість моделі потребує не лише якісних освітніх програм, а й механізмів моніторингу їх реалізації та звітності тренерів ­– без чого освітній підхід ризикує залишитися декларативним.</w:t>
      </w:r>
    </w:p>
    <w:p w:rsidR="00FE760B" w:rsidRPr="00FE760B" w:rsidRDefault="00FE760B" w:rsidP="00FE760B">
      <w:pPr>
        <w:spacing w:after="0" w:line="240" w:lineRule="auto"/>
        <w:ind w:firstLine="709"/>
        <w:jc w:val="both"/>
        <w:rPr>
          <w:sz w:val="24"/>
          <w:szCs w:val="24"/>
          <w:lang w:eastAsia="uk-UA"/>
        </w:rPr>
      </w:pPr>
      <w:r w:rsidRPr="00FE760B">
        <w:rPr>
          <w:b/>
          <w:bCs/>
          <w:sz w:val="24"/>
          <w:szCs w:val="24"/>
          <w:lang w:eastAsia="uk-UA"/>
        </w:rPr>
        <w:lastRenderedPageBreak/>
        <w:t>Дискусія</w:t>
      </w:r>
      <w:r w:rsidRPr="00FE760B">
        <w:rPr>
          <w:sz w:val="24"/>
          <w:szCs w:val="24"/>
          <w:lang w:eastAsia="uk-UA"/>
        </w:rPr>
        <w:t>. Результати порівняльного аналізу підходів IPC, INAS та Special Olympics до антидопінгової освіти дозволяють сформулювати кілька дискусійних положень. Центральним питанням є правомірність застосування єдиної антидопінгової парадигми до організацій з принципово різними місіями та цільовими групами спортсменів. Кодекс ВАДА запровадив Міжнародний стандарт з освіти як обов’язковий для всіх підписантів, що є кроком у правильному напрямі, оскільки визнає освіту самостійним регуляторним інструментом, а не лише додатком до тестування. Водночас сам факт того, що значна частина паралімпійців навіть у системах, де освіта є обов’язковою, ніколи її не отримувала [</w:t>
      </w:r>
      <w:r w:rsidRPr="00FE760B">
        <w:rPr>
          <w:sz w:val="24"/>
          <w:szCs w:val="24"/>
          <w:lang w:val="ru-RU" w:eastAsia="uk-UA"/>
        </w:rPr>
        <w:t>1</w:t>
      </w:r>
      <w:r w:rsidRPr="00FE760B">
        <w:rPr>
          <w:sz w:val="24"/>
          <w:szCs w:val="24"/>
          <w:lang w:eastAsia="uk-UA"/>
        </w:rPr>
        <w:t>,</w:t>
      </w:r>
      <w:r w:rsidRPr="00FE760B">
        <w:rPr>
          <w:sz w:val="24"/>
          <w:szCs w:val="24"/>
          <w:lang w:val="ru-RU" w:eastAsia="uk-UA"/>
        </w:rPr>
        <w:t>2</w:t>
      </w:r>
      <w:r w:rsidRPr="00FE760B">
        <w:rPr>
          <w:sz w:val="24"/>
          <w:szCs w:val="24"/>
          <w:lang w:eastAsia="uk-UA"/>
        </w:rPr>
        <w:t xml:space="preserve">], свідчить про структурну недостатність нормативного підходу без урахування організаційного контексту. Це узгоджується з висновками Naughton et al. [10], які доводять, що системні чинники середовища визначають антидопінгову поведінку значно більше, ніж індивідуальна обізнаність спортсмена. </w:t>
      </w:r>
    </w:p>
    <w:p w:rsidR="00FE760B" w:rsidRPr="00FE760B" w:rsidRDefault="00FE760B" w:rsidP="00FE760B">
      <w:pPr>
        <w:spacing w:after="0" w:line="240" w:lineRule="auto"/>
        <w:ind w:firstLine="709"/>
        <w:jc w:val="both"/>
        <w:rPr>
          <w:sz w:val="24"/>
          <w:szCs w:val="24"/>
          <w:lang w:eastAsia="uk-UA"/>
        </w:rPr>
      </w:pPr>
      <w:r w:rsidRPr="00FE760B">
        <w:rPr>
          <w:sz w:val="24"/>
          <w:szCs w:val="24"/>
          <w:lang w:eastAsia="uk-UA"/>
        </w:rPr>
        <w:t xml:space="preserve">Особливої уваги заслуговує питання про те, чи є освітній підхід Special Olympics достатнім за відсутності будь-якого верифікаційного механізму. Barkoukis et al. [11] переконливо показали, що ціннісно-орієнтована освіта підвищує легітимність антидопінгової системи в очах спортсменів і формує стійкішу антидопінгову поведінку, ніж суто інформаційний чи санкційний підхід. Однак ці висновки отримані на вибірках спортсменів без інтелектуальних порушень. Hurst et al. [3] документують, що для спортсменів з порушеннями інтелектуального розвитку навіть стандартні освітні матеріали є недоступними – відповідно, ефективність ціннісно-орієнтованої освіти в цьому контексті залишається відкритим емпіричним питанням, що потребує окремого дослідження. </w:t>
      </w:r>
    </w:p>
    <w:p w:rsidR="00FE760B" w:rsidRPr="00FE760B" w:rsidRDefault="00FE760B" w:rsidP="00FE760B">
      <w:pPr>
        <w:spacing w:after="0" w:line="240" w:lineRule="auto"/>
        <w:ind w:firstLine="709"/>
        <w:jc w:val="both"/>
        <w:rPr>
          <w:sz w:val="24"/>
          <w:szCs w:val="24"/>
          <w:lang w:eastAsia="uk-UA"/>
        </w:rPr>
      </w:pPr>
      <w:r w:rsidRPr="00FE760B">
        <w:rPr>
          <w:sz w:val="24"/>
          <w:szCs w:val="24"/>
          <w:lang w:eastAsia="uk-UA"/>
        </w:rPr>
        <w:t xml:space="preserve">Результати дослідження також ставлять питання про роль тренера, яке в контексті SO набуває особливої гостроти. Weber et al. [6] зафіксували, що у паралімпійському спорті, де існує зовнішній контроль у вигляді НАДО, тренери схильні делегувати антидопінгову відповідальність. В умовах SO, де зовнішнього контролю немає взагалі, ця тенденція може мати значно серйозніші наслідки. М. Дутчак та К. Коваль [4,5] підтверджують, що в Україні тренер є основним каналом антидопінгової соціалізації спортсменів, проте рівень антидопінгової компетентності самих тренерів залишається недостатнім. Перенесення цього висновку на контекст SO означає, що слабка ланка освітньої моделі організації – не самі спортсмени, а їхнє безпосереднє оточення. </w:t>
      </w:r>
    </w:p>
    <w:p w:rsidR="00FE760B" w:rsidRPr="00FE760B" w:rsidRDefault="00FE760B" w:rsidP="00FE760B">
      <w:pPr>
        <w:spacing w:after="0" w:line="240" w:lineRule="auto"/>
        <w:ind w:firstLine="709"/>
        <w:jc w:val="both"/>
        <w:rPr>
          <w:sz w:val="24"/>
          <w:szCs w:val="24"/>
          <w:lang w:eastAsia="uk-UA"/>
        </w:rPr>
      </w:pPr>
      <w:r w:rsidRPr="00FE760B">
        <w:rPr>
          <w:sz w:val="24"/>
          <w:szCs w:val="24"/>
          <w:lang w:eastAsia="uk-UA"/>
        </w:rPr>
        <w:t>Порівняння трьох організаційних моделей виявляє також парадокс охоплення: IPC, що має найбільш розвинену нормативну базу і обов’язкове тестування, демонструє значні практичні прогалини в реалізації антидопінгових процедур, тоді як SO, яка не має жодних формальних зобов’язань перед ВАДА, формує широку освітню екосистему через програму «True Sport» і залучення родин та волонтерів. Це підтверджує тезу Schneider et al. [9] про те, що формальна відповідність нормам не гарантує реального захисту спортсменів, і що превентивна освіта має пріоритет перед санкційним примусом у роботі з вразливими групами. Обмеженням цього дослідження є його теоретично-аналітичний характер. Висновки базуються на документальному аналізі та систематизації зарубіжних джерел, без оригінальних емпіричних даних щодо реального стану антидопінгової освіти в SO. Перспективою подальших досліджень є емпіричне вивчення рівня антидопінгової обізнаності тренерів і волонтерів SO в Україні, а також розробка та апробація адаптованих освітніх матеріалів для спортсменів з порушеннями інтелектуального розвитку.</w:t>
      </w:r>
    </w:p>
    <w:p w:rsidR="00FE760B" w:rsidRPr="00FE760B" w:rsidRDefault="00FE760B" w:rsidP="00FE760B">
      <w:pPr>
        <w:spacing w:after="0" w:line="240" w:lineRule="auto"/>
        <w:ind w:firstLine="708"/>
        <w:jc w:val="both"/>
        <w:rPr>
          <w:sz w:val="24"/>
          <w:szCs w:val="24"/>
          <w:lang w:eastAsia="uk-UA"/>
        </w:rPr>
      </w:pPr>
      <w:r w:rsidRPr="00FE760B">
        <w:rPr>
          <w:b/>
          <w:bCs/>
          <w:sz w:val="24"/>
          <w:szCs w:val="24"/>
          <w:lang w:eastAsia="uk-UA"/>
        </w:rPr>
        <w:t>Висновки</w:t>
      </w:r>
    </w:p>
    <w:p w:rsidR="00FE760B" w:rsidRPr="00FE760B" w:rsidRDefault="00FE760B" w:rsidP="00FE760B">
      <w:pPr>
        <w:numPr>
          <w:ilvl w:val="0"/>
          <w:numId w:val="9"/>
        </w:numPr>
        <w:spacing w:after="0" w:line="240" w:lineRule="auto"/>
        <w:ind w:left="0" w:firstLine="709"/>
        <w:jc w:val="both"/>
        <w:rPr>
          <w:sz w:val="24"/>
          <w:szCs w:val="24"/>
          <w:lang w:eastAsia="uk-UA"/>
        </w:rPr>
      </w:pPr>
      <w:r w:rsidRPr="00FE760B">
        <w:rPr>
          <w:sz w:val="24"/>
          <w:szCs w:val="24"/>
          <w:lang w:eastAsia="uk-UA"/>
        </w:rPr>
        <w:t xml:space="preserve">Антидопінгова освіта виконує різні інституційні функції залежно від місії організації та характеристик цільової групи спортсменів. В моделі IPC освіта є обов’язковим, але допоміжним компонентом системи, де основним регуляторним </w:t>
      </w:r>
      <w:r w:rsidRPr="00FE760B">
        <w:rPr>
          <w:sz w:val="24"/>
          <w:szCs w:val="24"/>
          <w:lang w:eastAsia="uk-UA"/>
        </w:rPr>
        <w:lastRenderedPageBreak/>
        <w:t>механізмом залишається тестування і санкції. В моделі INAS освіта набуває більшої ваги через обмеженість тестування, зумовлену специфікою спортсменів з інтелектуальними порушеннями. В моделі Special Olympics освіта є єдиним антидопінговим інструментом і виконує не лише профілактичну, а й правозахисну функцію – захищаючи спортсменів від інвазивних та потенційно травматичних процедур контролю. Ця диференціація свідчить про те, що ефективна антидопінгова система не може бути однаковою для всіх організаційних контекстів, а її архітектура має визначатися місією організації та реальними можливостями цільової аудиторії.</w:t>
      </w:r>
    </w:p>
    <w:p w:rsidR="00FE760B" w:rsidRPr="00FE760B" w:rsidRDefault="00FE760B" w:rsidP="00FE760B">
      <w:pPr>
        <w:numPr>
          <w:ilvl w:val="0"/>
          <w:numId w:val="9"/>
        </w:numPr>
        <w:spacing w:after="0" w:line="240" w:lineRule="auto"/>
        <w:ind w:left="0" w:firstLine="709"/>
        <w:jc w:val="both"/>
        <w:rPr>
          <w:sz w:val="24"/>
          <w:szCs w:val="24"/>
          <w:lang w:eastAsia="uk-UA"/>
        </w:rPr>
      </w:pPr>
      <w:r w:rsidRPr="00FE760B">
        <w:rPr>
          <w:sz w:val="24"/>
          <w:szCs w:val="24"/>
          <w:lang w:eastAsia="uk-UA"/>
        </w:rPr>
        <w:t>Стандартні антидопінгові процедури є структурно несумісними зі специфікою спортсменів з  порушеннями інтелектуального розвитку. Дослідження фіксують емоційний дистрес під час допінг-контролю, нездатність частини атлетів самостійно надати зразок, недоступність освітніх матеріалів та відсутність інформованої згоди в повному розумінні цього поняття. Ці факти не є аргументом проти антидопінгового регулювання як такого – вони вказують на те, що застосування уніфікованої моделі ВАДА до організацій із принципово іншою цільовою групою без суттєвої адаптації є інституційно недоцільним і потенційно шкідливим. Позиція Special Olympics, яка замінює тестування освітою, виявляється не відступом від стандартів доброчесності, а їхньою реалізацією в умовах, де стандартні механізми не можуть бути застосовані коректно.</w:t>
      </w:r>
    </w:p>
    <w:p w:rsidR="00FE760B" w:rsidRPr="00FE760B" w:rsidRDefault="00FE760B" w:rsidP="00FE760B">
      <w:pPr>
        <w:numPr>
          <w:ilvl w:val="0"/>
          <w:numId w:val="9"/>
        </w:numPr>
        <w:spacing w:after="0" w:line="240" w:lineRule="auto"/>
        <w:ind w:left="0" w:firstLine="709"/>
        <w:jc w:val="both"/>
        <w:rPr>
          <w:sz w:val="24"/>
          <w:szCs w:val="24"/>
          <w:lang w:eastAsia="uk-UA"/>
        </w:rPr>
      </w:pPr>
      <w:r w:rsidRPr="00FE760B">
        <w:rPr>
          <w:sz w:val="24"/>
          <w:szCs w:val="24"/>
          <w:lang w:eastAsia="uk-UA"/>
        </w:rPr>
        <w:t>Освітня модель Special Olympics демонструє внутрішню логічну узгодженість лише за умови, що антидопінгова освіта реалізується системно і охоплює всіх акторів екосистеми – спортсменів, тренерів, волонтерів та родини. Дослідження підтверджують, що ціннісно-орієнтована освіта є ефективнішим механізмом формування антидопінгової поведінки, ніж суто інформаційний підхід, а тренер займає ключову роль носія антидопінгових цінностей в умовах відсутності зовнішнього контролю. Водночас ефективність цієї моделі прямо залежить від якості та систематичності освітніх програм: за відсутності зовнішнього верифікаційного механізму саме освіта стає єдиною гарантією доброчесності, що підвищує вимоги до її змісту, доступності та охоплення. Це визначає головний напрям подальшого розвитку антидопінгової стратегії SO – не впровадження тестування, а побудова повноцінної, науково обґрунтованої системи освіти, адаптованої до потреб осіб з інтелектуальними порушеннями.</w:t>
      </w:r>
    </w:p>
    <w:p w:rsidR="00FE760B" w:rsidRPr="00FE760B" w:rsidRDefault="00FE760B" w:rsidP="00FE760B">
      <w:pPr>
        <w:spacing w:after="0" w:line="240" w:lineRule="auto"/>
        <w:ind w:firstLine="708"/>
        <w:jc w:val="both"/>
        <w:rPr>
          <w:sz w:val="24"/>
          <w:szCs w:val="24"/>
          <w:lang w:eastAsia="uk-UA"/>
        </w:rPr>
      </w:pPr>
      <w:r w:rsidRPr="00FE760B">
        <w:rPr>
          <w:b/>
          <w:bCs/>
          <w:sz w:val="24"/>
          <w:szCs w:val="24"/>
          <w:lang w:eastAsia="uk-UA"/>
        </w:rPr>
        <w:t xml:space="preserve">Конфлікт інтересів. </w:t>
      </w:r>
      <w:r w:rsidRPr="00FE760B">
        <w:rPr>
          <w:sz w:val="24"/>
          <w:szCs w:val="24"/>
          <w:lang w:eastAsia="uk-UA"/>
        </w:rPr>
        <w:t>Автори заявляють, що не існує жодного конфлікту інтересів.</w:t>
      </w:r>
    </w:p>
    <w:p w:rsidR="00FE760B" w:rsidRPr="00FE760B" w:rsidRDefault="00FE760B" w:rsidP="00FE760B">
      <w:pPr>
        <w:spacing w:after="0" w:line="240" w:lineRule="auto"/>
        <w:jc w:val="both"/>
        <w:rPr>
          <w:sz w:val="24"/>
          <w:szCs w:val="24"/>
          <w:lang w:eastAsia="uk-UA"/>
        </w:rPr>
      </w:pPr>
    </w:p>
    <w:p w:rsidR="00FE760B" w:rsidRPr="0004467E" w:rsidRDefault="00FE760B" w:rsidP="00FE760B">
      <w:pPr>
        <w:spacing w:after="0" w:line="240" w:lineRule="auto"/>
        <w:ind w:firstLine="709"/>
        <w:jc w:val="center"/>
        <w:rPr>
          <w:sz w:val="20"/>
          <w:szCs w:val="24"/>
          <w:lang w:eastAsia="uk-UA"/>
        </w:rPr>
      </w:pPr>
      <w:r w:rsidRPr="0004467E">
        <w:rPr>
          <w:b/>
          <w:bCs/>
          <w:sz w:val="20"/>
          <w:szCs w:val="24"/>
          <w:lang w:eastAsia="uk-UA"/>
        </w:rPr>
        <w:t>Список використаних джерел</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Qvarfordt A, Svedsäter G, Fagher K, Bjerkefors A, Blomqvist S. Para sport and anti-doping: a study of Swedish Para athletes’ experiences and perceptions. Frontiers in Sports and Active Living. 2024</w:t>
      </w:r>
      <w:r w:rsidRPr="00FE760B">
        <w:rPr>
          <w:sz w:val="20"/>
          <w:szCs w:val="20"/>
          <w:lang w:val="en-US" w:eastAsia="uk-UA"/>
        </w:rPr>
        <w:t>;</w:t>
      </w:r>
      <w:r w:rsidRPr="00FE760B">
        <w:rPr>
          <w:sz w:val="20"/>
          <w:szCs w:val="20"/>
          <w:lang w:eastAsia="uk-UA"/>
        </w:rPr>
        <w:t xml:space="preserve"> 6. Art. 1375359. </w:t>
      </w:r>
      <w:r w:rsidRPr="00FE760B">
        <w:rPr>
          <w:sz w:val="20"/>
          <w:szCs w:val="20"/>
          <w:lang w:val="en-US" w:eastAsia="uk-UA"/>
        </w:rPr>
        <w:t xml:space="preserve">DOI: </w:t>
      </w:r>
      <w:hyperlink r:id="rId94" w:history="1">
        <w:r w:rsidRPr="00FE760B">
          <w:rPr>
            <w:color w:val="0563C1"/>
            <w:sz w:val="20"/>
            <w:szCs w:val="20"/>
            <w:u w:val="single"/>
            <w:lang w:eastAsia="uk-UA"/>
          </w:rPr>
          <w:t>https://doi.org/10.3389/fspor.2024.1375359</w:t>
        </w:r>
      </w:hyperlink>
      <w:r w:rsidRPr="00FE760B">
        <w:rPr>
          <w:sz w:val="20"/>
          <w:szCs w:val="20"/>
          <w:lang w:val="en-US" w:eastAsia="uk-UA"/>
        </w:rPr>
        <w:t xml:space="preserve">. </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Qvarfordt A, Svedsäter G, Fagher K, Bjerkefors A, Blomqvist S. International elite Para athletes’ perspectives on anti-doping: what works, what doesn’t and what’s next? BMJ Open Sport &amp; Exercise Medicine. 2025</w:t>
      </w:r>
      <w:r w:rsidRPr="00FE760B">
        <w:rPr>
          <w:sz w:val="20"/>
          <w:szCs w:val="20"/>
          <w:lang w:val="en-US" w:eastAsia="uk-UA"/>
        </w:rPr>
        <w:t>;</w:t>
      </w:r>
      <w:r w:rsidRPr="00FE760B">
        <w:rPr>
          <w:sz w:val="20"/>
          <w:szCs w:val="20"/>
          <w:lang w:eastAsia="uk-UA"/>
        </w:rPr>
        <w:t xml:space="preserve"> 11</w:t>
      </w:r>
      <w:r w:rsidRPr="00FE760B">
        <w:rPr>
          <w:sz w:val="20"/>
          <w:szCs w:val="20"/>
          <w:lang w:val="en-US" w:eastAsia="uk-UA"/>
        </w:rPr>
        <w:t>(</w:t>
      </w:r>
      <w:r w:rsidRPr="00FE760B">
        <w:rPr>
          <w:sz w:val="20"/>
          <w:szCs w:val="20"/>
          <w:lang w:eastAsia="uk-UA"/>
        </w:rPr>
        <w:t>4</w:t>
      </w:r>
      <w:r w:rsidRPr="00FE760B">
        <w:rPr>
          <w:sz w:val="20"/>
          <w:szCs w:val="20"/>
          <w:lang w:val="en-US" w:eastAsia="uk-UA"/>
        </w:rPr>
        <w:t>)</w:t>
      </w:r>
      <w:r w:rsidRPr="00FE760B">
        <w:rPr>
          <w:sz w:val="20"/>
          <w:szCs w:val="20"/>
          <w:lang w:eastAsia="uk-UA"/>
        </w:rPr>
        <w:t xml:space="preserve">. </w:t>
      </w:r>
      <w:r w:rsidRPr="00FE760B">
        <w:rPr>
          <w:sz w:val="20"/>
          <w:szCs w:val="20"/>
          <w:lang w:val="en-US" w:eastAsia="uk-UA"/>
        </w:rPr>
        <w:t xml:space="preserve">DOI: </w:t>
      </w:r>
      <w:hyperlink r:id="rId95" w:history="1">
        <w:r w:rsidRPr="00FE760B">
          <w:rPr>
            <w:color w:val="0563C1"/>
            <w:sz w:val="20"/>
            <w:szCs w:val="20"/>
            <w:u w:val="single"/>
            <w:lang w:eastAsia="uk-UA"/>
          </w:rPr>
          <w:t>https://doi.org/10.1136/bmjsem-2025-002788</w:t>
        </w:r>
      </w:hyperlink>
      <w:r w:rsidRPr="00FE760B">
        <w:rPr>
          <w:sz w:val="20"/>
          <w:szCs w:val="20"/>
          <w:lang w:val="en-US" w:eastAsia="uk-UA"/>
        </w:rPr>
        <w:t xml:space="preserve">. </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Hurst P, Burns J, Van Biesen D. Athletes with intellectual impairments and their support personnel’s experience of anti-doping. Qualitative Research in Sport, Exercise and Health. 2025</w:t>
      </w:r>
      <w:r w:rsidRPr="00FE760B">
        <w:rPr>
          <w:sz w:val="20"/>
          <w:szCs w:val="20"/>
          <w:lang w:val="en-US" w:eastAsia="uk-UA"/>
        </w:rPr>
        <w:t>;</w:t>
      </w:r>
      <w:r w:rsidRPr="00FE760B">
        <w:rPr>
          <w:sz w:val="20"/>
          <w:szCs w:val="20"/>
          <w:lang w:eastAsia="uk-UA"/>
        </w:rPr>
        <w:t>17</w:t>
      </w:r>
      <w:r w:rsidRPr="00FE760B">
        <w:rPr>
          <w:sz w:val="20"/>
          <w:szCs w:val="20"/>
          <w:lang w:val="en-US" w:eastAsia="uk-UA"/>
        </w:rPr>
        <w:t>(</w:t>
      </w:r>
      <w:r w:rsidRPr="00FE760B">
        <w:rPr>
          <w:sz w:val="20"/>
          <w:szCs w:val="20"/>
          <w:lang w:eastAsia="uk-UA"/>
        </w:rPr>
        <w:t>5</w:t>
      </w:r>
      <w:r w:rsidRPr="00FE760B">
        <w:rPr>
          <w:sz w:val="20"/>
          <w:szCs w:val="20"/>
          <w:lang w:val="en-US" w:eastAsia="uk-UA"/>
        </w:rPr>
        <w:t>):</w:t>
      </w:r>
      <w:r w:rsidRPr="00FE760B">
        <w:rPr>
          <w:sz w:val="20"/>
          <w:szCs w:val="20"/>
          <w:lang w:eastAsia="uk-UA"/>
        </w:rPr>
        <w:t>435</w:t>
      </w:r>
      <w:r w:rsidRPr="00FE760B">
        <w:rPr>
          <w:sz w:val="20"/>
          <w:szCs w:val="20"/>
          <w:lang w:val="en-US" w:eastAsia="uk-UA"/>
        </w:rPr>
        <w:t>-</w:t>
      </w:r>
      <w:r w:rsidRPr="00FE760B">
        <w:rPr>
          <w:sz w:val="20"/>
          <w:szCs w:val="20"/>
          <w:lang w:eastAsia="uk-UA"/>
        </w:rPr>
        <w:t xml:space="preserve">50. </w:t>
      </w:r>
      <w:r w:rsidRPr="00FE760B">
        <w:rPr>
          <w:sz w:val="20"/>
          <w:szCs w:val="20"/>
          <w:lang w:val="en-US" w:eastAsia="uk-UA"/>
        </w:rPr>
        <w:t xml:space="preserve">DOI: </w:t>
      </w:r>
      <w:hyperlink r:id="rId96" w:history="1">
        <w:r w:rsidRPr="00FE760B">
          <w:rPr>
            <w:color w:val="0563C1"/>
            <w:sz w:val="20"/>
            <w:szCs w:val="20"/>
            <w:u w:val="single"/>
            <w:lang w:eastAsia="uk-UA"/>
          </w:rPr>
          <w:t>https://doi.org/10.1080/2159676x.2025.2509067</w:t>
        </w:r>
      </w:hyperlink>
      <w:r w:rsidRPr="00FE760B">
        <w:rPr>
          <w:sz w:val="20"/>
          <w:szCs w:val="20"/>
          <w:lang w:val="en-US" w:eastAsia="uk-UA"/>
        </w:rPr>
        <w:t>.</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Антидопінгова освіта у спорті: оцінка стану та перспектив розвитку в Україні (за результатами опитування тренерів). Physical Culture And Sport: Scientific Perspective</w:t>
      </w:r>
      <w:r w:rsidRPr="00FE760B">
        <w:rPr>
          <w:sz w:val="20"/>
          <w:szCs w:val="20"/>
          <w:lang w:val="en-US" w:eastAsia="uk-UA"/>
        </w:rPr>
        <w:t xml:space="preserve">. </w:t>
      </w:r>
      <w:r w:rsidRPr="00FE760B">
        <w:rPr>
          <w:sz w:val="20"/>
          <w:szCs w:val="20"/>
          <w:lang w:eastAsia="uk-UA"/>
        </w:rPr>
        <w:t>2026</w:t>
      </w:r>
      <w:r w:rsidRPr="00FE760B">
        <w:rPr>
          <w:sz w:val="20"/>
          <w:szCs w:val="20"/>
          <w:lang w:val="en-US" w:eastAsia="uk-UA"/>
        </w:rPr>
        <w:t>;</w:t>
      </w:r>
      <w:r w:rsidRPr="00FE760B">
        <w:rPr>
          <w:sz w:val="20"/>
          <w:szCs w:val="20"/>
          <w:lang w:eastAsia="uk-UA"/>
        </w:rPr>
        <w:t>4</w:t>
      </w:r>
      <w:r w:rsidRPr="00FE760B">
        <w:rPr>
          <w:sz w:val="20"/>
          <w:szCs w:val="20"/>
          <w:lang w:val="en-US" w:eastAsia="uk-UA"/>
        </w:rPr>
        <w:t>:</w:t>
      </w:r>
      <w:r w:rsidRPr="00FE760B">
        <w:rPr>
          <w:sz w:val="20"/>
          <w:szCs w:val="20"/>
          <w:lang w:eastAsia="uk-UA"/>
        </w:rPr>
        <w:t xml:space="preserve">24-32. </w:t>
      </w:r>
      <w:r w:rsidRPr="00FE760B">
        <w:rPr>
          <w:sz w:val="20"/>
          <w:szCs w:val="20"/>
          <w:lang w:val="en-US" w:eastAsia="uk-UA"/>
        </w:rPr>
        <w:t xml:space="preserve">DOI: </w:t>
      </w:r>
      <w:hyperlink r:id="rId97" w:history="1">
        <w:r w:rsidRPr="00FE760B">
          <w:rPr>
            <w:color w:val="0563C1"/>
            <w:sz w:val="20"/>
            <w:szCs w:val="20"/>
            <w:u w:val="single"/>
            <w:lang w:eastAsia="uk-UA"/>
          </w:rPr>
          <w:t>https://doi.org/10.31891/pcs.2025.4.3</w:t>
        </w:r>
      </w:hyperlink>
      <w:r w:rsidRPr="00FE760B">
        <w:rPr>
          <w:sz w:val="20"/>
          <w:szCs w:val="20"/>
          <w:lang w:val="en-US" w:eastAsia="uk-UA"/>
        </w:rPr>
        <w:t>.</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 xml:space="preserve">Дутчак МВ, Коваль КО. Особливості антидопінгової освіти у спорті в Україні (на матеріалі опитування спортсменів). Вісник Кам’янець-Подільського національного університету імені Івана Огієнка. Фізичне виховання, спорт і здоров’я людини. 2025; 30(4):232-39. </w:t>
      </w:r>
      <w:r w:rsidRPr="00FE760B">
        <w:rPr>
          <w:sz w:val="20"/>
          <w:szCs w:val="20"/>
          <w:lang w:val="en-US" w:eastAsia="uk-UA"/>
        </w:rPr>
        <w:t>DOI</w:t>
      </w:r>
      <w:r w:rsidRPr="00FE760B">
        <w:rPr>
          <w:sz w:val="20"/>
          <w:szCs w:val="20"/>
          <w:lang w:eastAsia="uk-UA"/>
        </w:rPr>
        <w:t xml:space="preserve">: </w:t>
      </w:r>
      <w:hyperlink r:id="rId98" w:history="1">
        <w:r w:rsidRPr="00FE760B">
          <w:rPr>
            <w:color w:val="0563C1"/>
            <w:sz w:val="20"/>
            <w:szCs w:val="20"/>
            <w:u w:val="single"/>
            <w:lang w:eastAsia="uk-UA"/>
          </w:rPr>
          <w:t>https://doi.org/10.32626/2309-8082.2025-30(4).232-239</w:t>
        </w:r>
      </w:hyperlink>
      <w:r w:rsidRPr="00FE760B">
        <w:rPr>
          <w:sz w:val="20"/>
          <w:szCs w:val="20"/>
          <w:lang w:eastAsia="uk-UA"/>
        </w:rPr>
        <w:tab/>
        <w:t>.</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Weber K, Patterson LB, Blank C. Doping in disabled elite sport: perceptions, knowledge and opinions from the perspective of German and UK coaches. Psychology of Sport and Exercise. 2022</w:t>
      </w:r>
      <w:r w:rsidRPr="00FE760B">
        <w:rPr>
          <w:sz w:val="20"/>
          <w:szCs w:val="20"/>
          <w:lang w:val="en-US" w:eastAsia="uk-UA"/>
        </w:rPr>
        <w:t>;</w:t>
      </w:r>
      <w:r w:rsidRPr="00FE760B">
        <w:rPr>
          <w:sz w:val="20"/>
          <w:szCs w:val="20"/>
          <w:lang w:eastAsia="uk-UA"/>
        </w:rPr>
        <w:t xml:space="preserve"> 62</w:t>
      </w:r>
      <w:r w:rsidRPr="00FE760B">
        <w:rPr>
          <w:sz w:val="20"/>
          <w:szCs w:val="20"/>
          <w:lang w:val="en-US" w:eastAsia="uk-UA"/>
        </w:rPr>
        <w:t>:</w:t>
      </w:r>
      <w:r w:rsidRPr="00FE760B">
        <w:rPr>
          <w:sz w:val="20"/>
          <w:szCs w:val="20"/>
          <w:lang w:eastAsia="uk-UA"/>
        </w:rPr>
        <w:t xml:space="preserve">102233. </w:t>
      </w:r>
      <w:r w:rsidRPr="00FE760B">
        <w:rPr>
          <w:sz w:val="20"/>
          <w:szCs w:val="20"/>
          <w:lang w:val="en-US" w:eastAsia="uk-UA"/>
        </w:rPr>
        <w:t xml:space="preserve">DOI: </w:t>
      </w:r>
      <w:hyperlink r:id="rId99" w:history="1">
        <w:r w:rsidRPr="00FE760B">
          <w:rPr>
            <w:color w:val="0563C1"/>
            <w:sz w:val="20"/>
            <w:szCs w:val="20"/>
            <w:u w:val="single"/>
            <w:lang w:eastAsia="uk-UA"/>
          </w:rPr>
          <w:t>https://doi.org/10.1016/j.psychsport.2022.102233</w:t>
        </w:r>
      </w:hyperlink>
      <w:r w:rsidRPr="00FE760B">
        <w:rPr>
          <w:sz w:val="20"/>
          <w:szCs w:val="20"/>
          <w:lang w:val="en-US" w:eastAsia="uk-UA"/>
        </w:rPr>
        <w:t>.</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lastRenderedPageBreak/>
        <w:t>Weber K, Patterson LB, Blank C. An exploration of doping-related perceptions and knowledge of disabled elite athletes in the UK and Austria. Psychology of Sport and Exercise. 2022</w:t>
      </w:r>
      <w:r w:rsidRPr="00FE760B">
        <w:rPr>
          <w:sz w:val="20"/>
          <w:szCs w:val="20"/>
          <w:lang w:val="en-US" w:eastAsia="uk-UA"/>
        </w:rPr>
        <w:t>;</w:t>
      </w:r>
      <w:r w:rsidRPr="00FE760B">
        <w:rPr>
          <w:sz w:val="20"/>
          <w:szCs w:val="20"/>
          <w:lang w:eastAsia="uk-UA"/>
        </w:rPr>
        <w:t xml:space="preserve"> 58</w:t>
      </w:r>
      <w:r w:rsidRPr="00FE760B">
        <w:rPr>
          <w:sz w:val="20"/>
          <w:szCs w:val="20"/>
          <w:lang w:val="en-US" w:eastAsia="uk-UA"/>
        </w:rPr>
        <w:t>:</w:t>
      </w:r>
      <w:r w:rsidRPr="00FE760B">
        <w:rPr>
          <w:sz w:val="20"/>
          <w:szCs w:val="20"/>
          <w:lang w:eastAsia="uk-UA"/>
        </w:rPr>
        <w:t xml:space="preserve">102061. </w:t>
      </w:r>
      <w:r w:rsidRPr="00FE760B">
        <w:rPr>
          <w:sz w:val="20"/>
          <w:szCs w:val="20"/>
          <w:lang w:val="en-US" w:eastAsia="uk-UA"/>
        </w:rPr>
        <w:t xml:space="preserve">DOI: </w:t>
      </w:r>
      <w:hyperlink r:id="rId100" w:history="1">
        <w:r w:rsidRPr="00FE760B">
          <w:rPr>
            <w:color w:val="0563C1"/>
            <w:sz w:val="20"/>
            <w:szCs w:val="20"/>
            <w:u w:val="single"/>
            <w:lang w:eastAsia="uk-UA"/>
          </w:rPr>
          <w:t>https://doi.org/10.1016/j.psychsport.2021.102061</w:t>
        </w:r>
      </w:hyperlink>
      <w:r w:rsidRPr="00FE760B">
        <w:rPr>
          <w:sz w:val="20"/>
          <w:szCs w:val="20"/>
          <w:lang w:val="en-US" w:eastAsia="uk-UA"/>
        </w:rPr>
        <w:t>.</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Blank C, Weber K, Boardley ID, Abel T, Schobersberger W, Patterson</w:t>
      </w:r>
      <w:r w:rsidRPr="00FE760B">
        <w:rPr>
          <w:sz w:val="20"/>
          <w:szCs w:val="20"/>
          <w:lang w:val="en-US" w:eastAsia="uk-UA"/>
        </w:rPr>
        <w:t> </w:t>
      </w:r>
      <w:r w:rsidRPr="00FE760B">
        <w:rPr>
          <w:sz w:val="20"/>
          <w:szCs w:val="20"/>
          <w:lang w:eastAsia="uk-UA"/>
        </w:rPr>
        <w:t>LB. Doping in Paralympic sport: perceptions, responsibility and anti-doping education experiences from the perspective of Paralympic athletes and parasport coaches. Frontiers in Sports and Active Living. 2023</w:t>
      </w:r>
      <w:r w:rsidRPr="00FE760B">
        <w:rPr>
          <w:sz w:val="20"/>
          <w:szCs w:val="20"/>
          <w:lang w:val="en-US" w:eastAsia="uk-UA"/>
        </w:rPr>
        <w:t>;</w:t>
      </w:r>
      <w:r w:rsidRPr="00FE760B">
        <w:rPr>
          <w:sz w:val="20"/>
          <w:szCs w:val="20"/>
          <w:lang w:eastAsia="uk-UA"/>
        </w:rPr>
        <w:t xml:space="preserve"> 5</w:t>
      </w:r>
      <w:r w:rsidRPr="00FE760B">
        <w:rPr>
          <w:sz w:val="20"/>
          <w:szCs w:val="20"/>
          <w:lang w:val="en-US" w:eastAsia="uk-UA"/>
        </w:rPr>
        <w:t>:</w:t>
      </w:r>
      <w:r w:rsidRPr="00FE760B">
        <w:rPr>
          <w:sz w:val="20"/>
          <w:szCs w:val="20"/>
          <w:lang w:eastAsia="uk-UA"/>
        </w:rPr>
        <w:t xml:space="preserve"> 1166139. </w:t>
      </w:r>
      <w:r w:rsidRPr="00FE760B">
        <w:rPr>
          <w:sz w:val="20"/>
          <w:szCs w:val="20"/>
          <w:lang w:val="en-US" w:eastAsia="uk-UA"/>
        </w:rPr>
        <w:t xml:space="preserve">DOI: </w:t>
      </w:r>
      <w:hyperlink r:id="rId101" w:history="1">
        <w:r w:rsidRPr="00FE760B">
          <w:rPr>
            <w:color w:val="0563C1"/>
            <w:sz w:val="20"/>
            <w:szCs w:val="20"/>
            <w:u w:val="single"/>
            <w:lang w:eastAsia="uk-UA"/>
          </w:rPr>
          <w:t>https://doi.org/10.3389/fspor.2023.1166139</w:t>
        </w:r>
      </w:hyperlink>
      <w:r w:rsidRPr="00FE760B">
        <w:rPr>
          <w:sz w:val="20"/>
          <w:szCs w:val="20"/>
          <w:lang w:val="en-US" w:eastAsia="uk-UA"/>
        </w:rPr>
        <w:t xml:space="preserve">. </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Schneider AJ, Morales Páez N, Lezama Ramírez Y, Butcher L. Safeguarding athletes and anti-doping: applying theories of vulnerability. Frontiers in Sports and Active Living. 2025</w:t>
      </w:r>
      <w:r w:rsidRPr="00FE760B">
        <w:rPr>
          <w:sz w:val="20"/>
          <w:szCs w:val="20"/>
          <w:lang w:val="en-US" w:eastAsia="uk-UA"/>
        </w:rPr>
        <w:t>;</w:t>
      </w:r>
      <w:r w:rsidRPr="00FE760B">
        <w:rPr>
          <w:sz w:val="20"/>
          <w:szCs w:val="20"/>
          <w:lang w:eastAsia="uk-UA"/>
        </w:rPr>
        <w:t>7</w:t>
      </w:r>
      <w:r w:rsidRPr="00FE760B">
        <w:rPr>
          <w:sz w:val="20"/>
          <w:szCs w:val="20"/>
          <w:lang w:val="en-US" w:eastAsia="uk-UA"/>
        </w:rPr>
        <w:t>:</w:t>
      </w:r>
      <w:r w:rsidRPr="00FE760B">
        <w:rPr>
          <w:sz w:val="20"/>
          <w:szCs w:val="20"/>
          <w:lang w:eastAsia="uk-UA"/>
        </w:rPr>
        <w:t xml:space="preserve">1512541. </w:t>
      </w:r>
      <w:r w:rsidRPr="00FE760B">
        <w:rPr>
          <w:sz w:val="20"/>
          <w:szCs w:val="20"/>
          <w:lang w:val="en-US" w:eastAsia="uk-UA"/>
        </w:rPr>
        <w:t xml:space="preserve">DOI: </w:t>
      </w:r>
      <w:hyperlink r:id="rId102" w:history="1">
        <w:r w:rsidRPr="00FE760B">
          <w:rPr>
            <w:color w:val="0563C1"/>
            <w:sz w:val="20"/>
            <w:szCs w:val="20"/>
            <w:u w:val="single"/>
            <w:lang w:eastAsia="uk-UA"/>
          </w:rPr>
          <w:t>https://doi.org/10.3389/fspor.2025.1512541</w:t>
        </w:r>
      </w:hyperlink>
      <w:r w:rsidRPr="00FE760B">
        <w:rPr>
          <w:sz w:val="20"/>
          <w:szCs w:val="20"/>
          <w:lang w:val="en-US" w:eastAsia="uk-UA"/>
        </w:rPr>
        <w:t xml:space="preserve">. </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Naughton M, Salmon PM, Kerhervé HA, McLean S. Applying a systems thinking lens to anti-doping: A systematic review identifying the contributory factors to doping in sport. Journal of Sports Sciences. 2025</w:t>
      </w:r>
      <w:r w:rsidRPr="00FE760B">
        <w:rPr>
          <w:sz w:val="20"/>
          <w:szCs w:val="20"/>
          <w:lang w:val="en-US" w:eastAsia="uk-UA"/>
        </w:rPr>
        <w:t>;</w:t>
      </w:r>
      <w:r w:rsidRPr="00FE760B">
        <w:rPr>
          <w:sz w:val="20"/>
          <w:szCs w:val="20"/>
          <w:lang w:eastAsia="uk-UA"/>
        </w:rPr>
        <w:t>43</w:t>
      </w:r>
      <w:r w:rsidRPr="00FE760B">
        <w:rPr>
          <w:sz w:val="20"/>
          <w:szCs w:val="20"/>
          <w:lang w:val="en-US" w:eastAsia="uk-UA"/>
        </w:rPr>
        <w:t>(</w:t>
      </w:r>
      <w:r w:rsidRPr="00FE760B">
        <w:rPr>
          <w:sz w:val="20"/>
          <w:szCs w:val="20"/>
          <w:lang w:eastAsia="uk-UA"/>
        </w:rPr>
        <w:t>1</w:t>
      </w:r>
      <w:r w:rsidRPr="00FE760B">
        <w:rPr>
          <w:sz w:val="20"/>
          <w:szCs w:val="20"/>
          <w:lang w:val="en-US" w:eastAsia="uk-UA"/>
        </w:rPr>
        <w:t xml:space="preserve">): </w:t>
      </w:r>
      <w:r w:rsidRPr="00FE760B">
        <w:rPr>
          <w:sz w:val="20"/>
          <w:szCs w:val="20"/>
          <w:lang w:eastAsia="uk-UA"/>
        </w:rPr>
        <w:t>8</w:t>
      </w:r>
      <w:r w:rsidRPr="00FE760B">
        <w:rPr>
          <w:sz w:val="20"/>
          <w:szCs w:val="20"/>
          <w:lang w:val="en-US" w:eastAsia="uk-UA"/>
        </w:rPr>
        <w:t>-</w:t>
      </w:r>
      <w:r w:rsidRPr="00FE760B">
        <w:rPr>
          <w:sz w:val="20"/>
          <w:szCs w:val="20"/>
          <w:lang w:eastAsia="uk-UA"/>
        </w:rPr>
        <w:t xml:space="preserve">22. </w:t>
      </w:r>
      <w:r w:rsidRPr="00FE760B">
        <w:rPr>
          <w:sz w:val="20"/>
          <w:szCs w:val="20"/>
          <w:lang w:val="en-US" w:eastAsia="uk-UA"/>
        </w:rPr>
        <w:t xml:space="preserve">DOI: </w:t>
      </w:r>
      <w:hyperlink r:id="rId103" w:history="1">
        <w:r w:rsidRPr="00FE760B">
          <w:rPr>
            <w:color w:val="0563C1"/>
            <w:sz w:val="20"/>
            <w:szCs w:val="20"/>
            <w:u w:val="single"/>
            <w:lang w:eastAsia="uk-UA"/>
          </w:rPr>
          <w:t>https://doi.org/10.1080/02640414.2024.2306056</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Barkoukis V, Mallia L, Lazuras L. et al. The role of comprehensive education in anti-doping policy legitimacy and support among clean athletes. Psychology of Sport and Exercise. 2022</w:t>
      </w:r>
      <w:r w:rsidRPr="00FE760B">
        <w:rPr>
          <w:sz w:val="20"/>
          <w:szCs w:val="20"/>
          <w:lang w:val="en-US" w:eastAsia="uk-UA"/>
        </w:rPr>
        <w:t>;</w:t>
      </w:r>
      <w:r w:rsidRPr="00FE760B">
        <w:rPr>
          <w:sz w:val="20"/>
          <w:szCs w:val="20"/>
          <w:lang w:eastAsia="uk-UA"/>
        </w:rPr>
        <w:t xml:space="preserve"> 60</w:t>
      </w:r>
      <w:r w:rsidRPr="00FE760B">
        <w:rPr>
          <w:sz w:val="20"/>
          <w:szCs w:val="20"/>
          <w:lang w:val="en-US" w:eastAsia="uk-UA"/>
        </w:rPr>
        <w:t>:</w:t>
      </w:r>
      <w:r w:rsidRPr="00FE760B">
        <w:rPr>
          <w:sz w:val="20"/>
          <w:szCs w:val="20"/>
          <w:lang w:eastAsia="uk-UA"/>
        </w:rPr>
        <w:t xml:space="preserve"> 102173. </w:t>
      </w:r>
      <w:r w:rsidRPr="00FE760B">
        <w:rPr>
          <w:sz w:val="20"/>
          <w:szCs w:val="20"/>
          <w:lang w:val="en-US" w:eastAsia="uk-UA"/>
        </w:rPr>
        <w:t xml:space="preserve">DOI: </w:t>
      </w:r>
      <w:hyperlink r:id="rId104" w:history="1">
        <w:r w:rsidRPr="00FE760B">
          <w:rPr>
            <w:color w:val="0563C1"/>
            <w:sz w:val="20"/>
            <w:szCs w:val="20"/>
            <w:u w:val="single"/>
            <w:lang w:eastAsia="uk-UA"/>
          </w:rPr>
          <w:t>https://doi.org/10.1016/j.psychsport.2022.102173</w:t>
        </w:r>
      </w:hyperlink>
      <w:r w:rsidRPr="00FE760B">
        <w:rPr>
          <w:sz w:val="20"/>
          <w:szCs w:val="20"/>
          <w:lang w:val="en-US" w:eastAsia="uk-UA"/>
        </w:rPr>
        <w:t>.</w:t>
      </w:r>
      <w:r w:rsidRPr="00FE760B">
        <w:rPr>
          <w:sz w:val="20"/>
          <w:szCs w:val="20"/>
          <w:lang w:val="en-US" w:eastAsia="uk-UA"/>
        </w:rPr>
        <w:tab/>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McConkey R, Menke S. The community inclusion of athletes with intellectual disability: a transnational study of the impact of participating in Special Olympics. Sport in Society. 2022</w:t>
      </w:r>
      <w:r w:rsidRPr="00FE760B">
        <w:rPr>
          <w:sz w:val="20"/>
          <w:szCs w:val="20"/>
          <w:lang w:val="en-US" w:eastAsia="uk-UA"/>
        </w:rPr>
        <w:t>;</w:t>
      </w:r>
      <w:r w:rsidRPr="00FE760B">
        <w:rPr>
          <w:sz w:val="20"/>
          <w:szCs w:val="20"/>
          <w:lang w:eastAsia="uk-UA"/>
        </w:rPr>
        <w:t xml:space="preserve"> 25</w:t>
      </w:r>
      <w:r w:rsidRPr="00FE760B">
        <w:rPr>
          <w:sz w:val="20"/>
          <w:szCs w:val="20"/>
          <w:lang w:val="en-US" w:eastAsia="uk-UA"/>
        </w:rPr>
        <w:t>(</w:t>
      </w:r>
      <w:r w:rsidRPr="00FE760B">
        <w:rPr>
          <w:sz w:val="20"/>
          <w:szCs w:val="20"/>
          <w:lang w:eastAsia="uk-UA"/>
        </w:rPr>
        <w:t>9</w:t>
      </w:r>
      <w:r w:rsidRPr="00FE760B">
        <w:rPr>
          <w:sz w:val="20"/>
          <w:szCs w:val="20"/>
          <w:lang w:val="en-US" w:eastAsia="uk-UA"/>
        </w:rPr>
        <w:t>):</w:t>
      </w:r>
      <w:r w:rsidRPr="00FE760B">
        <w:rPr>
          <w:sz w:val="20"/>
          <w:szCs w:val="20"/>
          <w:lang w:eastAsia="uk-UA"/>
        </w:rPr>
        <w:t>1756</w:t>
      </w:r>
      <w:r w:rsidRPr="00FE760B">
        <w:rPr>
          <w:sz w:val="20"/>
          <w:szCs w:val="20"/>
          <w:lang w:val="en-US" w:eastAsia="uk-UA"/>
        </w:rPr>
        <w:t>-</w:t>
      </w:r>
      <w:r w:rsidRPr="00FE760B">
        <w:rPr>
          <w:sz w:val="20"/>
          <w:szCs w:val="20"/>
          <w:lang w:eastAsia="uk-UA"/>
        </w:rPr>
        <w:t xml:space="preserve">65. </w:t>
      </w:r>
      <w:hyperlink r:id="rId105" w:history="1">
        <w:r w:rsidRPr="00FE760B">
          <w:rPr>
            <w:color w:val="0563C1"/>
            <w:sz w:val="20"/>
            <w:szCs w:val="20"/>
            <w:u w:val="single"/>
            <w:lang w:eastAsia="uk-UA"/>
          </w:rPr>
          <w:t>https://doi.org/10.1080/17430437.2020.1807515</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Asunta P, Hasanen E, Kiuppis F, Rintala P, McConkey R. ‘Life is team play’: social inclusion of people with intellectual disabilities in the context of Special Olympics. Sport in Society. 2022</w:t>
      </w:r>
      <w:r w:rsidRPr="00FE760B">
        <w:rPr>
          <w:sz w:val="20"/>
          <w:szCs w:val="20"/>
          <w:lang w:val="en-US" w:eastAsia="uk-UA"/>
        </w:rPr>
        <w:t>;</w:t>
      </w:r>
      <w:r w:rsidRPr="00FE760B">
        <w:rPr>
          <w:sz w:val="20"/>
          <w:szCs w:val="20"/>
          <w:lang w:eastAsia="uk-UA"/>
        </w:rPr>
        <w:t xml:space="preserve"> 25</w:t>
      </w:r>
      <w:r w:rsidRPr="00FE760B">
        <w:rPr>
          <w:sz w:val="20"/>
          <w:szCs w:val="20"/>
          <w:lang w:val="en-US" w:eastAsia="uk-UA"/>
        </w:rPr>
        <w:t>(</w:t>
      </w:r>
      <w:r w:rsidRPr="00FE760B">
        <w:rPr>
          <w:sz w:val="20"/>
          <w:szCs w:val="20"/>
          <w:lang w:eastAsia="uk-UA"/>
        </w:rPr>
        <w:t>10</w:t>
      </w:r>
      <w:r w:rsidRPr="00FE760B">
        <w:rPr>
          <w:sz w:val="20"/>
          <w:szCs w:val="20"/>
          <w:lang w:val="en-US" w:eastAsia="uk-UA"/>
        </w:rPr>
        <w:t>):</w:t>
      </w:r>
      <w:r w:rsidRPr="00FE760B">
        <w:rPr>
          <w:sz w:val="20"/>
          <w:szCs w:val="20"/>
          <w:lang w:eastAsia="uk-UA"/>
        </w:rPr>
        <w:t xml:space="preserve"> 2146</w:t>
      </w:r>
      <w:r w:rsidRPr="00FE760B">
        <w:rPr>
          <w:sz w:val="20"/>
          <w:szCs w:val="20"/>
          <w:lang w:val="en-US" w:eastAsia="uk-UA"/>
        </w:rPr>
        <w:t>-</w:t>
      </w:r>
      <w:r w:rsidRPr="00FE760B">
        <w:rPr>
          <w:sz w:val="20"/>
          <w:szCs w:val="20"/>
          <w:lang w:eastAsia="uk-UA"/>
        </w:rPr>
        <w:t xml:space="preserve">61. </w:t>
      </w:r>
      <w:r w:rsidRPr="00FE760B">
        <w:rPr>
          <w:sz w:val="20"/>
          <w:szCs w:val="20"/>
          <w:lang w:val="en-US" w:eastAsia="uk-UA"/>
        </w:rPr>
        <w:t xml:space="preserve">DOI: </w:t>
      </w:r>
      <w:hyperlink r:id="rId106" w:history="1">
        <w:r w:rsidRPr="00FE760B">
          <w:rPr>
            <w:color w:val="0563C1"/>
            <w:sz w:val="20"/>
            <w:szCs w:val="20"/>
            <w:u w:val="single"/>
            <w:lang w:eastAsia="uk-UA"/>
          </w:rPr>
          <w:t>https://doi.org/10.1080/17430437.2022.2037565</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World Anti-Doping Agency. World Anti-Doping Code 2021. Montreal : WADA</w:t>
      </w:r>
      <w:r w:rsidRPr="00FE760B">
        <w:rPr>
          <w:sz w:val="20"/>
          <w:szCs w:val="20"/>
          <w:lang w:val="en-US" w:eastAsia="uk-UA"/>
        </w:rPr>
        <w:t>.</w:t>
      </w:r>
      <w:r w:rsidRPr="00FE760B">
        <w:rPr>
          <w:sz w:val="20"/>
          <w:szCs w:val="20"/>
          <w:lang w:eastAsia="uk-UA"/>
        </w:rPr>
        <w:t xml:space="preserve"> 2021. 225 p. URL: </w:t>
      </w:r>
      <w:hyperlink r:id="rId107" w:history="1">
        <w:r w:rsidRPr="00FE760B">
          <w:rPr>
            <w:color w:val="0563C1"/>
            <w:sz w:val="20"/>
            <w:szCs w:val="20"/>
            <w:u w:val="single"/>
            <w:lang w:eastAsia="uk-UA"/>
          </w:rPr>
          <w:t>https://www.wada-ama.org/en/resources/world-anti-doping-program/world-anti-doping-code</w:t>
        </w:r>
      </w:hyperlink>
      <w:r w:rsidRPr="00FE760B">
        <w:rPr>
          <w:sz w:val="20"/>
          <w:szCs w:val="20"/>
          <w:lang w:eastAsia="uk-UA"/>
        </w:rPr>
        <w:t>.</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North DC. Institutions, Institutional Change and Economic Performance. Cambridge: Cambridge University Press</w:t>
      </w:r>
      <w:r w:rsidRPr="00FE760B">
        <w:rPr>
          <w:sz w:val="20"/>
          <w:szCs w:val="20"/>
          <w:lang w:val="en-US" w:eastAsia="uk-UA"/>
        </w:rPr>
        <w:t>;</w:t>
      </w:r>
      <w:r w:rsidRPr="00FE760B">
        <w:rPr>
          <w:sz w:val="20"/>
          <w:szCs w:val="20"/>
          <w:lang w:eastAsia="uk-UA"/>
        </w:rPr>
        <w:t xml:space="preserve"> 1990. 152 p.</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Scott WR. Institutions and Organizations: Ideas and Interests. Thousand Oaks: Sage</w:t>
      </w:r>
      <w:r w:rsidRPr="00FE760B">
        <w:rPr>
          <w:sz w:val="20"/>
          <w:szCs w:val="20"/>
          <w:lang w:val="en-US" w:eastAsia="uk-UA"/>
        </w:rPr>
        <w:t>;</w:t>
      </w:r>
      <w:r w:rsidRPr="00FE760B">
        <w:rPr>
          <w:sz w:val="20"/>
          <w:szCs w:val="20"/>
          <w:lang w:eastAsia="uk-UA"/>
        </w:rPr>
        <w:t xml:space="preserve"> 2001. 255 p.</w:t>
      </w:r>
    </w:p>
    <w:p w:rsidR="00FE760B" w:rsidRPr="00FE760B" w:rsidRDefault="00FE760B" w:rsidP="00FE760B">
      <w:pPr>
        <w:numPr>
          <w:ilvl w:val="0"/>
          <w:numId w:val="10"/>
        </w:numPr>
        <w:spacing w:after="0" w:line="240" w:lineRule="auto"/>
        <w:ind w:left="0" w:firstLine="0"/>
        <w:jc w:val="both"/>
        <w:rPr>
          <w:sz w:val="20"/>
          <w:szCs w:val="20"/>
          <w:lang w:eastAsia="uk-UA"/>
        </w:rPr>
      </w:pPr>
      <w:r w:rsidRPr="00FE760B">
        <w:rPr>
          <w:sz w:val="20"/>
          <w:szCs w:val="20"/>
          <w:lang w:eastAsia="uk-UA"/>
        </w:rPr>
        <w:t>Special Olympics. Special Olympics Anti-Doping Policy. Washington: Special Olympics International, 2021. URL: https://media.specialolympics.org/resources/sports-essentials/general/Special-Olympics-Anti-Doping-Policy-2021.pdf (дата звернення: 01.03.2025).</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Pickett AC, Williams SE, Damon ZJ. Special Olympics involvement and families of individuals with intellectual disabilities: Impacts on sense of community, social isolation, and health. Managing Sport and Leisure. 2025</w:t>
      </w:r>
      <w:r w:rsidRPr="00FE760B">
        <w:rPr>
          <w:sz w:val="20"/>
          <w:szCs w:val="20"/>
          <w:lang w:val="en-US" w:eastAsia="uk-UA"/>
        </w:rPr>
        <w:t>;</w:t>
      </w:r>
      <w:r w:rsidRPr="00FE760B">
        <w:rPr>
          <w:sz w:val="20"/>
          <w:szCs w:val="20"/>
          <w:lang w:eastAsia="uk-UA"/>
        </w:rPr>
        <w:t xml:space="preserve"> 30</w:t>
      </w:r>
      <w:r w:rsidRPr="00FE760B">
        <w:rPr>
          <w:sz w:val="20"/>
          <w:szCs w:val="20"/>
          <w:lang w:val="en-US" w:eastAsia="uk-UA"/>
        </w:rPr>
        <w:t>(</w:t>
      </w:r>
      <w:r w:rsidRPr="00FE760B">
        <w:rPr>
          <w:sz w:val="20"/>
          <w:szCs w:val="20"/>
          <w:lang w:eastAsia="uk-UA"/>
        </w:rPr>
        <w:t>1</w:t>
      </w:r>
      <w:r w:rsidRPr="00FE760B">
        <w:rPr>
          <w:sz w:val="20"/>
          <w:szCs w:val="20"/>
          <w:lang w:val="en-US" w:eastAsia="uk-UA"/>
        </w:rPr>
        <w:t>):</w:t>
      </w:r>
      <w:r w:rsidRPr="00FE760B">
        <w:rPr>
          <w:sz w:val="20"/>
          <w:szCs w:val="20"/>
          <w:lang w:eastAsia="uk-UA"/>
        </w:rPr>
        <w:t>79</w:t>
      </w:r>
      <w:r w:rsidRPr="00FE760B">
        <w:rPr>
          <w:sz w:val="20"/>
          <w:szCs w:val="20"/>
          <w:lang w:val="en-US" w:eastAsia="uk-UA"/>
        </w:rPr>
        <w:t>-</w:t>
      </w:r>
      <w:r w:rsidRPr="00FE760B">
        <w:rPr>
          <w:sz w:val="20"/>
          <w:szCs w:val="20"/>
          <w:lang w:eastAsia="uk-UA"/>
        </w:rPr>
        <w:t xml:space="preserve">93. </w:t>
      </w:r>
      <w:r w:rsidRPr="00FE760B">
        <w:rPr>
          <w:sz w:val="20"/>
          <w:szCs w:val="20"/>
          <w:lang w:val="en-US" w:eastAsia="uk-UA"/>
        </w:rPr>
        <w:t xml:space="preserve">DOI: </w:t>
      </w:r>
      <w:hyperlink r:id="rId108" w:history="1">
        <w:r w:rsidRPr="00FE760B">
          <w:rPr>
            <w:color w:val="0563C1"/>
            <w:sz w:val="20"/>
            <w:szCs w:val="20"/>
            <w:u w:val="single"/>
            <w:lang w:eastAsia="uk-UA"/>
          </w:rPr>
          <w:t>https://doi.org/10.1080/23750472.2022.2145345</w:t>
        </w:r>
      </w:hyperlink>
      <w:r w:rsidRPr="00FE760B">
        <w:rPr>
          <w:sz w:val="20"/>
          <w:szCs w:val="20"/>
          <w:lang w:val="en-US" w:eastAsia="uk-UA"/>
        </w:rPr>
        <w:t xml:space="preserve">. </w:t>
      </w:r>
    </w:p>
    <w:p w:rsidR="00FE760B" w:rsidRPr="00FE760B" w:rsidRDefault="00FE760B" w:rsidP="00FE760B">
      <w:pPr>
        <w:numPr>
          <w:ilvl w:val="0"/>
          <w:numId w:val="10"/>
        </w:numPr>
        <w:spacing w:after="0" w:line="240" w:lineRule="auto"/>
        <w:ind w:left="0" w:firstLine="0"/>
        <w:jc w:val="both"/>
        <w:rPr>
          <w:sz w:val="20"/>
          <w:szCs w:val="20"/>
          <w:lang w:val="en-US" w:eastAsia="uk-UA"/>
        </w:rPr>
      </w:pPr>
      <w:r w:rsidRPr="00FE760B">
        <w:rPr>
          <w:sz w:val="20"/>
          <w:szCs w:val="20"/>
          <w:lang w:eastAsia="uk-UA"/>
        </w:rPr>
        <w:t>Giese M, Buchner T, Mihajlovic C, Oldörp F. The subject of Special Olympics – interrogating the inclusive potentials of a sport movement from an ableism-critical perspective. Sport in Society. 2022</w:t>
      </w:r>
      <w:r w:rsidRPr="00FE760B">
        <w:rPr>
          <w:sz w:val="20"/>
          <w:szCs w:val="20"/>
          <w:lang w:val="en-US" w:eastAsia="uk-UA"/>
        </w:rPr>
        <w:t>;</w:t>
      </w:r>
      <w:r w:rsidRPr="00FE760B">
        <w:rPr>
          <w:sz w:val="20"/>
          <w:szCs w:val="20"/>
          <w:lang w:eastAsia="uk-UA"/>
        </w:rPr>
        <w:t xml:space="preserve"> 25</w:t>
      </w:r>
      <w:r w:rsidRPr="00FE760B">
        <w:rPr>
          <w:sz w:val="20"/>
          <w:szCs w:val="20"/>
          <w:lang w:val="en-US" w:eastAsia="uk-UA"/>
        </w:rPr>
        <w:t>(</w:t>
      </w:r>
      <w:r w:rsidRPr="00FE760B">
        <w:rPr>
          <w:sz w:val="20"/>
          <w:szCs w:val="20"/>
          <w:lang w:eastAsia="uk-UA"/>
        </w:rPr>
        <w:t>10</w:t>
      </w:r>
      <w:r w:rsidRPr="00FE760B">
        <w:rPr>
          <w:sz w:val="20"/>
          <w:szCs w:val="20"/>
          <w:lang w:val="en-US" w:eastAsia="uk-UA"/>
        </w:rPr>
        <w:t>):</w:t>
      </w:r>
      <w:r w:rsidRPr="00FE760B">
        <w:rPr>
          <w:sz w:val="20"/>
          <w:szCs w:val="20"/>
          <w:lang w:eastAsia="uk-UA"/>
        </w:rPr>
        <w:t>2178</w:t>
      </w:r>
      <w:r w:rsidRPr="00FE760B">
        <w:rPr>
          <w:sz w:val="20"/>
          <w:szCs w:val="20"/>
          <w:lang w:val="en-US" w:eastAsia="uk-UA"/>
        </w:rPr>
        <w:t>-</w:t>
      </w:r>
      <w:r w:rsidRPr="00FE760B">
        <w:rPr>
          <w:sz w:val="20"/>
          <w:szCs w:val="20"/>
          <w:lang w:eastAsia="uk-UA"/>
        </w:rPr>
        <w:t xml:space="preserve">92. </w:t>
      </w:r>
      <w:r w:rsidRPr="00FE760B">
        <w:rPr>
          <w:sz w:val="20"/>
          <w:szCs w:val="20"/>
          <w:lang w:val="en-US" w:eastAsia="uk-UA"/>
        </w:rPr>
        <w:t xml:space="preserve">DOI: </w:t>
      </w:r>
      <w:hyperlink r:id="rId109" w:history="1">
        <w:r w:rsidRPr="00FE760B">
          <w:rPr>
            <w:color w:val="0563C1"/>
            <w:sz w:val="20"/>
            <w:szCs w:val="20"/>
            <w:u w:val="single"/>
            <w:lang w:eastAsia="uk-UA"/>
          </w:rPr>
          <w:t>https://doi.org/10.1080/17430437.2022.2113061</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spacing w:after="0" w:line="240" w:lineRule="auto"/>
        <w:jc w:val="both"/>
        <w:rPr>
          <w:sz w:val="20"/>
          <w:szCs w:val="20"/>
          <w:lang w:val="en-US" w:eastAsia="uk-UA"/>
        </w:rPr>
      </w:pPr>
    </w:p>
    <w:p w:rsidR="00FE760B" w:rsidRPr="00FE760B" w:rsidRDefault="00FE760B" w:rsidP="00FE760B">
      <w:pPr>
        <w:spacing w:after="0" w:line="240" w:lineRule="auto"/>
        <w:jc w:val="center"/>
        <w:rPr>
          <w:b/>
          <w:bCs/>
          <w:sz w:val="20"/>
          <w:szCs w:val="20"/>
          <w:lang w:val="en-US" w:eastAsia="uk-UA"/>
        </w:rPr>
      </w:pPr>
      <w:r w:rsidRPr="00FE760B">
        <w:rPr>
          <w:b/>
          <w:bCs/>
          <w:sz w:val="20"/>
          <w:szCs w:val="20"/>
          <w:lang w:val="en-US" w:eastAsia="uk-UA"/>
        </w:rPr>
        <w:t>References</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Qvarfordt A, Svedsäter G, Fagher K, Bjerkefors A, Blomqvist S. Para sport and anti-doping: a study of Swedish Para athletes’ experiences and perceptions. Frontiers in Sports and Active Living. 2024</w:t>
      </w:r>
      <w:r w:rsidRPr="00FE760B">
        <w:rPr>
          <w:sz w:val="20"/>
          <w:szCs w:val="20"/>
          <w:lang w:val="en-US" w:eastAsia="uk-UA"/>
        </w:rPr>
        <w:t>;</w:t>
      </w:r>
      <w:r w:rsidRPr="00FE760B">
        <w:rPr>
          <w:sz w:val="20"/>
          <w:szCs w:val="20"/>
          <w:lang w:eastAsia="uk-UA"/>
        </w:rPr>
        <w:t xml:space="preserve"> 6. Art. 1375359. </w:t>
      </w:r>
      <w:r w:rsidRPr="00FE760B">
        <w:rPr>
          <w:sz w:val="20"/>
          <w:szCs w:val="20"/>
          <w:lang w:val="en-US" w:eastAsia="uk-UA"/>
        </w:rPr>
        <w:t xml:space="preserve">DOI: </w:t>
      </w:r>
      <w:hyperlink r:id="rId110" w:history="1">
        <w:r w:rsidRPr="00FE760B">
          <w:rPr>
            <w:color w:val="0563C1"/>
            <w:sz w:val="20"/>
            <w:szCs w:val="20"/>
            <w:u w:val="single"/>
            <w:lang w:eastAsia="uk-UA"/>
          </w:rPr>
          <w:t>https://doi.org/10.3389/fspor.2024.1375359</w:t>
        </w:r>
      </w:hyperlink>
      <w:r w:rsidRPr="00FE760B">
        <w:rPr>
          <w:sz w:val="20"/>
          <w:szCs w:val="20"/>
          <w:lang w:val="en-US" w:eastAsia="uk-UA"/>
        </w:rPr>
        <w:t xml:space="preserve">. </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Qvarfordt A, Svedsäter G, Fagher K, Bjerkefors A, Blomqvist S. International elite Para athletes’ perspectives on anti-doping: what works, what doesn’t and what’s next? BMJ Open Sport &amp; Exercise Medicine. 2025</w:t>
      </w:r>
      <w:r w:rsidRPr="00FE760B">
        <w:rPr>
          <w:sz w:val="20"/>
          <w:szCs w:val="20"/>
          <w:lang w:val="en-US" w:eastAsia="uk-UA"/>
        </w:rPr>
        <w:t>;</w:t>
      </w:r>
      <w:r w:rsidRPr="00FE760B">
        <w:rPr>
          <w:sz w:val="20"/>
          <w:szCs w:val="20"/>
          <w:lang w:eastAsia="uk-UA"/>
        </w:rPr>
        <w:t xml:space="preserve"> 11</w:t>
      </w:r>
      <w:r w:rsidRPr="00FE760B">
        <w:rPr>
          <w:sz w:val="20"/>
          <w:szCs w:val="20"/>
          <w:lang w:val="en-US" w:eastAsia="uk-UA"/>
        </w:rPr>
        <w:t>(</w:t>
      </w:r>
      <w:r w:rsidRPr="00FE760B">
        <w:rPr>
          <w:sz w:val="20"/>
          <w:szCs w:val="20"/>
          <w:lang w:eastAsia="uk-UA"/>
        </w:rPr>
        <w:t>4</w:t>
      </w:r>
      <w:r w:rsidRPr="00FE760B">
        <w:rPr>
          <w:sz w:val="20"/>
          <w:szCs w:val="20"/>
          <w:lang w:val="en-US" w:eastAsia="uk-UA"/>
        </w:rPr>
        <w:t>)</w:t>
      </w:r>
      <w:r w:rsidRPr="00FE760B">
        <w:rPr>
          <w:sz w:val="20"/>
          <w:szCs w:val="20"/>
          <w:lang w:eastAsia="uk-UA"/>
        </w:rPr>
        <w:t xml:space="preserve">. </w:t>
      </w:r>
      <w:r w:rsidRPr="00FE760B">
        <w:rPr>
          <w:sz w:val="20"/>
          <w:szCs w:val="20"/>
          <w:lang w:val="en-US" w:eastAsia="uk-UA"/>
        </w:rPr>
        <w:t xml:space="preserve">DOI: </w:t>
      </w:r>
      <w:hyperlink r:id="rId111" w:history="1">
        <w:r w:rsidRPr="00FE760B">
          <w:rPr>
            <w:color w:val="0563C1"/>
            <w:sz w:val="20"/>
            <w:szCs w:val="20"/>
            <w:u w:val="single"/>
            <w:lang w:eastAsia="uk-UA"/>
          </w:rPr>
          <w:t>https://doi.org/10.1136/bmjsem-2025-002788</w:t>
        </w:r>
      </w:hyperlink>
      <w:r w:rsidRPr="00FE760B">
        <w:rPr>
          <w:sz w:val="20"/>
          <w:szCs w:val="20"/>
          <w:lang w:val="en-US" w:eastAsia="uk-UA"/>
        </w:rPr>
        <w:t xml:space="preserve">. </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Hurst P, Burns J, Van Biesen D. Athletes with intellectual impairments and their support personnel’s experience of anti-doping. Qualitative Research in Sport, Exercise and Health. 2025</w:t>
      </w:r>
      <w:r w:rsidRPr="00FE760B">
        <w:rPr>
          <w:sz w:val="20"/>
          <w:szCs w:val="20"/>
          <w:lang w:val="en-US" w:eastAsia="uk-UA"/>
        </w:rPr>
        <w:t>;</w:t>
      </w:r>
      <w:r w:rsidRPr="00FE760B">
        <w:rPr>
          <w:sz w:val="20"/>
          <w:szCs w:val="20"/>
          <w:lang w:eastAsia="uk-UA"/>
        </w:rPr>
        <w:t>17</w:t>
      </w:r>
      <w:r w:rsidRPr="00FE760B">
        <w:rPr>
          <w:sz w:val="20"/>
          <w:szCs w:val="20"/>
          <w:lang w:val="en-US" w:eastAsia="uk-UA"/>
        </w:rPr>
        <w:t>(</w:t>
      </w:r>
      <w:r w:rsidRPr="00FE760B">
        <w:rPr>
          <w:sz w:val="20"/>
          <w:szCs w:val="20"/>
          <w:lang w:eastAsia="uk-UA"/>
        </w:rPr>
        <w:t>5</w:t>
      </w:r>
      <w:r w:rsidRPr="00FE760B">
        <w:rPr>
          <w:sz w:val="20"/>
          <w:szCs w:val="20"/>
          <w:lang w:val="en-US" w:eastAsia="uk-UA"/>
        </w:rPr>
        <w:t>):</w:t>
      </w:r>
      <w:r w:rsidRPr="00FE760B">
        <w:rPr>
          <w:sz w:val="20"/>
          <w:szCs w:val="20"/>
          <w:lang w:eastAsia="uk-UA"/>
        </w:rPr>
        <w:t>435</w:t>
      </w:r>
      <w:r w:rsidRPr="00FE760B">
        <w:rPr>
          <w:sz w:val="20"/>
          <w:szCs w:val="20"/>
          <w:lang w:val="en-US" w:eastAsia="uk-UA"/>
        </w:rPr>
        <w:t>-</w:t>
      </w:r>
      <w:r w:rsidRPr="00FE760B">
        <w:rPr>
          <w:sz w:val="20"/>
          <w:szCs w:val="20"/>
          <w:lang w:eastAsia="uk-UA"/>
        </w:rPr>
        <w:t xml:space="preserve">50. </w:t>
      </w:r>
      <w:r w:rsidRPr="00FE760B">
        <w:rPr>
          <w:sz w:val="20"/>
          <w:szCs w:val="20"/>
          <w:lang w:val="en-US" w:eastAsia="uk-UA"/>
        </w:rPr>
        <w:t xml:space="preserve">DOI: </w:t>
      </w:r>
      <w:hyperlink r:id="rId112" w:history="1">
        <w:r w:rsidRPr="00FE760B">
          <w:rPr>
            <w:color w:val="0563C1"/>
            <w:sz w:val="20"/>
            <w:szCs w:val="20"/>
            <w:u w:val="single"/>
            <w:lang w:eastAsia="uk-UA"/>
          </w:rPr>
          <w:t>https://doi.org/10.1080/2159676x.2025.2509067</w:t>
        </w:r>
      </w:hyperlink>
      <w:r w:rsidRPr="00FE760B">
        <w:rPr>
          <w:sz w:val="20"/>
          <w:szCs w:val="20"/>
          <w:lang w:val="en-US" w:eastAsia="uk-UA"/>
        </w:rPr>
        <w:t>.</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Dutchak MV, Koval KO. Antydopinhova osvita u sporti: otsinka stanu ta perspektyv rozvytku v Ukraini (za rezultatamy opytuvannia treneriv) [Anti-doping education in sport: assessment of the state and development prospects in Ukraine (based on a survey of coaches)]. Physical Culture and Sport: Scientific Perspective. 2026;4:24</w:t>
      </w:r>
      <w:r w:rsidRPr="00FE760B">
        <w:rPr>
          <w:sz w:val="20"/>
          <w:szCs w:val="20"/>
          <w:lang w:val="en-US" w:eastAsia="uk-UA"/>
        </w:rPr>
        <w:t>-</w:t>
      </w:r>
      <w:r w:rsidRPr="00FE760B">
        <w:rPr>
          <w:sz w:val="20"/>
          <w:szCs w:val="20"/>
          <w:lang w:eastAsia="uk-UA"/>
        </w:rPr>
        <w:t xml:space="preserve">32. </w:t>
      </w:r>
      <w:r w:rsidRPr="00FE760B">
        <w:rPr>
          <w:sz w:val="20"/>
          <w:szCs w:val="20"/>
          <w:lang w:val="en-US" w:eastAsia="uk-UA"/>
        </w:rPr>
        <w:t xml:space="preserve">DOI: </w:t>
      </w:r>
      <w:hyperlink r:id="rId113" w:history="1">
        <w:r w:rsidRPr="00FE760B">
          <w:rPr>
            <w:color w:val="0563C1"/>
            <w:sz w:val="20"/>
            <w:szCs w:val="20"/>
            <w:u w:val="single"/>
            <w:lang w:eastAsia="uk-UA"/>
          </w:rPr>
          <w:t>https://doi.org/10.31891/pcs.2025.4.3</w:t>
        </w:r>
      </w:hyperlink>
      <w:r w:rsidRPr="00FE760B">
        <w:rPr>
          <w:sz w:val="20"/>
          <w:szCs w:val="20"/>
          <w:lang w:val="en-US" w:eastAsia="uk-UA"/>
        </w:rPr>
        <w:t xml:space="preserve">. </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Dutchak MV, Koval KO. Osoblyvosti antydopinhovoi osvity u sporti v Ukraini (na materiali opytuvannia sportsmeniv) [Characteristics of anti-doping education in sport in Ukraine (based on a survey of athletes)]. Visnyk Kamianets-Podilskoho natsionalnoho universytetu imeni Ivana Ohiienka. Fizychne vykhovannia, sport i zdorovia liudyny. 2025;30(4):232</w:t>
      </w:r>
      <w:r w:rsidRPr="00FE760B">
        <w:rPr>
          <w:sz w:val="20"/>
          <w:szCs w:val="20"/>
          <w:lang w:val="en-US" w:eastAsia="uk-UA"/>
        </w:rPr>
        <w:t>-</w:t>
      </w:r>
      <w:r w:rsidRPr="00FE760B">
        <w:rPr>
          <w:sz w:val="20"/>
          <w:szCs w:val="20"/>
          <w:lang w:eastAsia="uk-UA"/>
        </w:rPr>
        <w:t xml:space="preserve">9. </w:t>
      </w:r>
      <w:r w:rsidRPr="00FE760B">
        <w:rPr>
          <w:sz w:val="20"/>
          <w:szCs w:val="20"/>
          <w:lang w:val="en-US" w:eastAsia="uk-UA"/>
        </w:rPr>
        <w:t xml:space="preserve">DOI: </w:t>
      </w:r>
      <w:hyperlink r:id="rId114" w:history="1">
        <w:r w:rsidRPr="00FE760B">
          <w:rPr>
            <w:color w:val="0563C1"/>
            <w:sz w:val="20"/>
            <w:szCs w:val="20"/>
            <w:u w:val="single"/>
            <w:lang w:eastAsia="uk-UA"/>
          </w:rPr>
          <w:t>https://doi.org/10.32626/2309-8082.2025-30(4).232-239</w:t>
        </w:r>
      </w:hyperlink>
      <w:r w:rsidRPr="00FE760B">
        <w:rPr>
          <w:sz w:val="20"/>
          <w:szCs w:val="20"/>
          <w:lang w:val="en-US" w:eastAsia="uk-UA"/>
        </w:rPr>
        <w:tab/>
        <w:t>.</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Weber K, Patterson LB, Blank C. Doping in disabled elite sport: perceptions, knowledge and opinions from the perspective of German and UK coaches. Psychology of Sport and Exercise. 2022</w:t>
      </w:r>
      <w:r w:rsidRPr="00FE760B">
        <w:rPr>
          <w:sz w:val="20"/>
          <w:szCs w:val="20"/>
          <w:lang w:val="en-US" w:eastAsia="uk-UA"/>
        </w:rPr>
        <w:t>;</w:t>
      </w:r>
      <w:r w:rsidRPr="00FE760B">
        <w:rPr>
          <w:sz w:val="20"/>
          <w:szCs w:val="20"/>
          <w:lang w:eastAsia="uk-UA"/>
        </w:rPr>
        <w:t xml:space="preserve"> 62</w:t>
      </w:r>
      <w:r w:rsidRPr="00FE760B">
        <w:rPr>
          <w:sz w:val="20"/>
          <w:szCs w:val="20"/>
          <w:lang w:val="en-US" w:eastAsia="uk-UA"/>
        </w:rPr>
        <w:t>:</w:t>
      </w:r>
      <w:r w:rsidRPr="00FE760B">
        <w:rPr>
          <w:sz w:val="20"/>
          <w:szCs w:val="20"/>
          <w:lang w:eastAsia="uk-UA"/>
        </w:rPr>
        <w:t xml:space="preserve">102233. </w:t>
      </w:r>
      <w:r w:rsidRPr="00FE760B">
        <w:rPr>
          <w:sz w:val="20"/>
          <w:szCs w:val="20"/>
          <w:lang w:val="en-US" w:eastAsia="uk-UA"/>
        </w:rPr>
        <w:t xml:space="preserve">DOI: </w:t>
      </w:r>
      <w:hyperlink r:id="rId115" w:history="1">
        <w:r w:rsidRPr="00FE760B">
          <w:rPr>
            <w:color w:val="0563C1"/>
            <w:sz w:val="20"/>
            <w:szCs w:val="20"/>
            <w:u w:val="single"/>
            <w:lang w:eastAsia="uk-UA"/>
          </w:rPr>
          <w:t>https://doi.org/10.1016/j.psychsport.2022.102233</w:t>
        </w:r>
      </w:hyperlink>
      <w:r w:rsidRPr="00FE760B">
        <w:rPr>
          <w:sz w:val="20"/>
          <w:szCs w:val="20"/>
          <w:lang w:val="en-US" w:eastAsia="uk-UA"/>
        </w:rPr>
        <w:t>.</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Weber K, Patterson LB, Blank C. An exploration of doping-related perceptions and knowledge of disabled elite athletes in the UK and Austria. Psychology of Sport and Exercise. 2022</w:t>
      </w:r>
      <w:r w:rsidRPr="00FE760B">
        <w:rPr>
          <w:sz w:val="20"/>
          <w:szCs w:val="20"/>
          <w:lang w:val="en-US" w:eastAsia="uk-UA"/>
        </w:rPr>
        <w:t>;</w:t>
      </w:r>
      <w:r w:rsidRPr="00FE760B">
        <w:rPr>
          <w:sz w:val="20"/>
          <w:szCs w:val="20"/>
          <w:lang w:eastAsia="uk-UA"/>
        </w:rPr>
        <w:t xml:space="preserve"> 58</w:t>
      </w:r>
      <w:r w:rsidRPr="00FE760B">
        <w:rPr>
          <w:sz w:val="20"/>
          <w:szCs w:val="20"/>
          <w:lang w:val="en-US" w:eastAsia="uk-UA"/>
        </w:rPr>
        <w:t>:</w:t>
      </w:r>
      <w:r w:rsidRPr="00FE760B">
        <w:rPr>
          <w:sz w:val="20"/>
          <w:szCs w:val="20"/>
          <w:lang w:eastAsia="uk-UA"/>
        </w:rPr>
        <w:t xml:space="preserve">102061. </w:t>
      </w:r>
      <w:r w:rsidRPr="00FE760B">
        <w:rPr>
          <w:sz w:val="20"/>
          <w:szCs w:val="20"/>
          <w:lang w:val="en-US" w:eastAsia="uk-UA"/>
        </w:rPr>
        <w:t xml:space="preserve">DOI: </w:t>
      </w:r>
      <w:hyperlink r:id="rId116" w:history="1">
        <w:r w:rsidRPr="00FE760B">
          <w:rPr>
            <w:color w:val="0563C1"/>
            <w:sz w:val="20"/>
            <w:szCs w:val="20"/>
            <w:u w:val="single"/>
            <w:lang w:eastAsia="uk-UA"/>
          </w:rPr>
          <w:t>https://doi.org/10.1016/j.psychsport.2021.102061</w:t>
        </w:r>
      </w:hyperlink>
      <w:r w:rsidRPr="00FE760B">
        <w:rPr>
          <w:sz w:val="20"/>
          <w:szCs w:val="20"/>
          <w:lang w:val="en-US" w:eastAsia="uk-UA"/>
        </w:rPr>
        <w:t>.</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lastRenderedPageBreak/>
        <w:t>Blank C, Weber K, Boardley ID, Abel T, Schobersberger W, Patterson</w:t>
      </w:r>
      <w:r w:rsidRPr="00FE760B">
        <w:rPr>
          <w:sz w:val="20"/>
          <w:szCs w:val="20"/>
          <w:lang w:val="en-US" w:eastAsia="uk-UA"/>
        </w:rPr>
        <w:t> </w:t>
      </w:r>
      <w:r w:rsidRPr="00FE760B">
        <w:rPr>
          <w:sz w:val="20"/>
          <w:szCs w:val="20"/>
          <w:lang w:eastAsia="uk-UA"/>
        </w:rPr>
        <w:t>LB. Doping in Paralympic sport: perceptions, responsibility and anti-doping education experiences from the perspective of Paralympic athletes and parasport coaches. Frontiers in Sports and Active Living. 2023</w:t>
      </w:r>
      <w:r w:rsidRPr="00FE760B">
        <w:rPr>
          <w:sz w:val="20"/>
          <w:szCs w:val="20"/>
          <w:lang w:val="en-US" w:eastAsia="uk-UA"/>
        </w:rPr>
        <w:t>;</w:t>
      </w:r>
      <w:r w:rsidRPr="00FE760B">
        <w:rPr>
          <w:sz w:val="20"/>
          <w:szCs w:val="20"/>
          <w:lang w:eastAsia="uk-UA"/>
        </w:rPr>
        <w:t xml:space="preserve"> 5</w:t>
      </w:r>
      <w:r w:rsidRPr="00FE760B">
        <w:rPr>
          <w:sz w:val="20"/>
          <w:szCs w:val="20"/>
          <w:lang w:val="en-US" w:eastAsia="uk-UA"/>
        </w:rPr>
        <w:t>:</w:t>
      </w:r>
      <w:r w:rsidRPr="00FE760B">
        <w:rPr>
          <w:sz w:val="20"/>
          <w:szCs w:val="20"/>
          <w:lang w:eastAsia="uk-UA"/>
        </w:rPr>
        <w:t xml:space="preserve"> 1166139. </w:t>
      </w:r>
      <w:r w:rsidRPr="00FE760B">
        <w:rPr>
          <w:sz w:val="20"/>
          <w:szCs w:val="20"/>
          <w:lang w:val="en-US" w:eastAsia="uk-UA"/>
        </w:rPr>
        <w:t xml:space="preserve">DOI: </w:t>
      </w:r>
      <w:hyperlink r:id="rId117" w:history="1">
        <w:r w:rsidRPr="00FE760B">
          <w:rPr>
            <w:color w:val="0563C1"/>
            <w:sz w:val="20"/>
            <w:szCs w:val="20"/>
            <w:u w:val="single"/>
            <w:lang w:eastAsia="uk-UA"/>
          </w:rPr>
          <w:t>https://doi.org/10.3389/fspor.2023.1166139</w:t>
        </w:r>
      </w:hyperlink>
      <w:r w:rsidRPr="00FE760B">
        <w:rPr>
          <w:sz w:val="20"/>
          <w:szCs w:val="20"/>
          <w:lang w:val="en-US" w:eastAsia="uk-UA"/>
        </w:rPr>
        <w:t xml:space="preserve">. </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Schneider AJ, Morales Páez N, Lezama Ramírez Y, Butcher L. Safeguarding athletes and anti-doping: applying theories of vulnerability. Frontiers in Sports and Active Living. 2025</w:t>
      </w:r>
      <w:r w:rsidRPr="00FE760B">
        <w:rPr>
          <w:sz w:val="20"/>
          <w:szCs w:val="20"/>
          <w:lang w:val="en-US" w:eastAsia="uk-UA"/>
        </w:rPr>
        <w:t>;</w:t>
      </w:r>
      <w:r w:rsidRPr="00FE760B">
        <w:rPr>
          <w:sz w:val="20"/>
          <w:szCs w:val="20"/>
          <w:lang w:eastAsia="uk-UA"/>
        </w:rPr>
        <w:t>7</w:t>
      </w:r>
      <w:r w:rsidRPr="00FE760B">
        <w:rPr>
          <w:sz w:val="20"/>
          <w:szCs w:val="20"/>
          <w:lang w:val="en-US" w:eastAsia="uk-UA"/>
        </w:rPr>
        <w:t>:</w:t>
      </w:r>
      <w:r w:rsidRPr="00FE760B">
        <w:rPr>
          <w:sz w:val="20"/>
          <w:szCs w:val="20"/>
          <w:lang w:eastAsia="uk-UA"/>
        </w:rPr>
        <w:t xml:space="preserve">1512541. </w:t>
      </w:r>
      <w:r w:rsidRPr="00FE760B">
        <w:rPr>
          <w:sz w:val="20"/>
          <w:szCs w:val="20"/>
          <w:lang w:val="en-US" w:eastAsia="uk-UA"/>
        </w:rPr>
        <w:t xml:space="preserve">DOI: </w:t>
      </w:r>
      <w:hyperlink r:id="rId118" w:history="1">
        <w:r w:rsidRPr="00FE760B">
          <w:rPr>
            <w:color w:val="0563C1"/>
            <w:sz w:val="20"/>
            <w:szCs w:val="20"/>
            <w:u w:val="single"/>
            <w:lang w:eastAsia="uk-UA"/>
          </w:rPr>
          <w:t>https://doi.org/10.3389/fspor.2025.1512541</w:t>
        </w:r>
      </w:hyperlink>
      <w:r w:rsidRPr="00FE760B">
        <w:rPr>
          <w:sz w:val="20"/>
          <w:szCs w:val="20"/>
          <w:lang w:val="en-US" w:eastAsia="uk-UA"/>
        </w:rPr>
        <w:t xml:space="preserve">. </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Naughton M, Salmon PM, Kerhervé HA, McLean S. Applying a systems thinking lens to anti-doping: A systematic review identifying the contributory factors to doping in sport. Journal of Sports Sciences. 2025</w:t>
      </w:r>
      <w:r w:rsidRPr="00FE760B">
        <w:rPr>
          <w:sz w:val="20"/>
          <w:szCs w:val="20"/>
          <w:lang w:val="en-US" w:eastAsia="uk-UA"/>
        </w:rPr>
        <w:t>;</w:t>
      </w:r>
      <w:r w:rsidRPr="00FE760B">
        <w:rPr>
          <w:sz w:val="20"/>
          <w:szCs w:val="20"/>
          <w:lang w:eastAsia="uk-UA"/>
        </w:rPr>
        <w:t>43</w:t>
      </w:r>
      <w:r w:rsidRPr="00FE760B">
        <w:rPr>
          <w:sz w:val="20"/>
          <w:szCs w:val="20"/>
          <w:lang w:val="en-US" w:eastAsia="uk-UA"/>
        </w:rPr>
        <w:t>(</w:t>
      </w:r>
      <w:r w:rsidRPr="00FE760B">
        <w:rPr>
          <w:sz w:val="20"/>
          <w:szCs w:val="20"/>
          <w:lang w:eastAsia="uk-UA"/>
        </w:rPr>
        <w:t>1</w:t>
      </w:r>
      <w:r w:rsidRPr="00FE760B">
        <w:rPr>
          <w:sz w:val="20"/>
          <w:szCs w:val="20"/>
          <w:lang w:val="en-US" w:eastAsia="uk-UA"/>
        </w:rPr>
        <w:t xml:space="preserve">): </w:t>
      </w:r>
      <w:r w:rsidRPr="00FE760B">
        <w:rPr>
          <w:sz w:val="20"/>
          <w:szCs w:val="20"/>
          <w:lang w:eastAsia="uk-UA"/>
        </w:rPr>
        <w:t>8</w:t>
      </w:r>
      <w:r w:rsidRPr="00FE760B">
        <w:rPr>
          <w:sz w:val="20"/>
          <w:szCs w:val="20"/>
          <w:lang w:val="en-US" w:eastAsia="uk-UA"/>
        </w:rPr>
        <w:t>-</w:t>
      </w:r>
      <w:r w:rsidRPr="00FE760B">
        <w:rPr>
          <w:sz w:val="20"/>
          <w:szCs w:val="20"/>
          <w:lang w:eastAsia="uk-UA"/>
        </w:rPr>
        <w:t xml:space="preserve">22. </w:t>
      </w:r>
      <w:r w:rsidRPr="00FE760B">
        <w:rPr>
          <w:sz w:val="20"/>
          <w:szCs w:val="20"/>
          <w:lang w:val="en-US" w:eastAsia="uk-UA"/>
        </w:rPr>
        <w:t xml:space="preserve">DOI: </w:t>
      </w:r>
      <w:hyperlink r:id="rId119" w:history="1">
        <w:r w:rsidRPr="00FE760B">
          <w:rPr>
            <w:color w:val="0563C1"/>
            <w:sz w:val="20"/>
            <w:szCs w:val="20"/>
            <w:u w:val="single"/>
            <w:lang w:eastAsia="uk-UA"/>
          </w:rPr>
          <w:t>https://doi.org/10.1080/02640414.2024.2306056</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Barkoukis V, Mallia L, Lazuras L. et al. The role of comprehensive education in anti-doping policy legitimacy and support among clean athletes. Psychology of Sport and Exercise. 2022</w:t>
      </w:r>
      <w:r w:rsidRPr="00FE760B">
        <w:rPr>
          <w:sz w:val="20"/>
          <w:szCs w:val="20"/>
          <w:lang w:val="en-US" w:eastAsia="uk-UA"/>
        </w:rPr>
        <w:t>;</w:t>
      </w:r>
      <w:r w:rsidRPr="00FE760B">
        <w:rPr>
          <w:sz w:val="20"/>
          <w:szCs w:val="20"/>
          <w:lang w:eastAsia="uk-UA"/>
        </w:rPr>
        <w:t xml:space="preserve"> 60</w:t>
      </w:r>
      <w:r w:rsidRPr="00FE760B">
        <w:rPr>
          <w:sz w:val="20"/>
          <w:szCs w:val="20"/>
          <w:lang w:val="en-US" w:eastAsia="uk-UA"/>
        </w:rPr>
        <w:t>:</w:t>
      </w:r>
      <w:r w:rsidRPr="00FE760B">
        <w:rPr>
          <w:sz w:val="20"/>
          <w:szCs w:val="20"/>
          <w:lang w:eastAsia="uk-UA"/>
        </w:rPr>
        <w:t xml:space="preserve"> 102173. </w:t>
      </w:r>
      <w:r w:rsidRPr="00FE760B">
        <w:rPr>
          <w:sz w:val="20"/>
          <w:szCs w:val="20"/>
          <w:lang w:val="en-US" w:eastAsia="uk-UA"/>
        </w:rPr>
        <w:t xml:space="preserve">DOI: </w:t>
      </w:r>
      <w:hyperlink r:id="rId120" w:history="1">
        <w:r w:rsidRPr="00FE760B">
          <w:rPr>
            <w:color w:val="0563C1"/>
            <w:sz w:val="20"/>
            <w:szCs w:val="20"/>
            <w:u w:val="single"/>
            <w:lang w:eastAsia="uk-UA"/>
          </w:rPr>
          <w:t>https://doi.org/10.1016/j.psychsport.2022.102173</w:t>
        </w:r>
      </w:hyperlink>
      <w:r w:rsidRPr="00FE760B">
        <w:rPr>
          <w:sz w:val="20"/>
          <w:szCs w:val="20"/>
          <w:lang w:val="en-US" w:eastAsia="uk-UA"/>
        </w:rPr>
        <w:t>.</w:t>
      </w:r>
      <w:r w:rsidRPr="00FE760B">
        <w:rPr>
          <w:sz w:val="20"/>
          <w:szCs w:val="20"/>
          <w:lang w:val="en-US" w:eastAsia="uk-UA"/>
        </w:rPr>
        <w:tab/>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McConkey R, Menke S. The community inclusion of athletes with intellectual disability: a transnational study of the impact of participating in Special Olympics. Sport in Society. 2022</w:t>
      </w:r>
      <w:r w:rsidRPr="00FE760B">
        <w:rPr>
          <w:sz w:val="20"/>
          <w:szCs w:val="20"/>
          <w:lang w:val="en-US" w:eastAsia="uk-UA"/>
        </w:rPr>
        <w:t>;</w:t>
      </w:r>
      <w:r w:rsidRPr="00FE760B">
        <w:rPr>
          <w:sz w:val="20"/>
          <w:szCs w:val="20"/>
          <w:lang w:eastAsia="uk-UA"/>
        </w:rPr>
        <w:t xml:space="preserve"> 25</w:t>
      </w:r>
      <w:r w:rsidRPr="00FE760B">
        <w:rPr>
          <w:sz w:val="20"/>
          <w:szCs w:val="20"/>
          <w:lang w:val="en-US" w:eastAsia="uk-UA"/>
        </w:rPr>
        <w:t>(</w:t>
      </w:r>
      <w:r w:rsidRPr="00FE760B">
        <w:rPr>
          <w:sz w:val="20"/>
          <w:szCs w:val="20"/>
          <w:lang w:eastAsia="uk-UA"/>
        </w:rPr>
        <w:t>9</w:t>
      </w:r>
      <w:r w:rsidRPr="00FE760B">
        <w:rPr>
          <w:sz w:val="20"/>
          <w:szCs w:val="20"/>
          <w:lang w:val="en-US" w:eastAsia="uk-UA"/>
        </w:rPr>
        <w:t>):</w:t>
      </w:r>
      <w:r w:rsidRPr="00FE760B">
        <w:rPr>
          <w:sz w:val="20"/>
          <w:szCs w:val="20"/>
          <w:lang w:eastAsia="uk-UA"/>
        </w:rPr>
        <w:t>1756</w:t>
      </w:r>
      <w:r w:rsidRPr="00FE760B">
        <w:rPr>
          <w:sz w:val="20"/>
          <w:szCs w:val="20"/>
          <w:lang w:val="en-US" w:eastAsia="uk-UA"/>
        </w:rPr>
        <w:t>-</w:t>
      </w:r>
      <w:r w:rsidRPr="00FE760B">
        <w:rPr>
          <w:sz w:val="20"/>
          <w:szCs w:val="20"/>
          <w:lang w:eastAsia="uk-UA"/>
        </w:rPr>
        <w:t xml:space="preserve">65. </w:t>
      </w:r>
      <w:hyperlink r:id="rId121" w:history="1">
        <w:r w:rsidRPr="00FE760B">
          <w:rPr>
            <w:color w:val="0563C1"/>
            <w:sz w:val="20"/>
            <w:szCs w:val="20"/>
            <w:u w:val="single"/>
            <w:lang w:eastAsia="uk-UA"/>
          </w:rPr>
          <w:t>https://doi.org/10.1080/17430437.2020.1807515</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Asunta P, Hasanen E, Kiuppis F, Rintala P, McConkey R. ‘Life is team play’: social inclusion of people with intellectual disabilities in the context of Special Olympics. Sport in Society. 2022</w:t>
      </w:r>
      <w:r w:rsidRPr="00FE760B">
        <w:rPr>
          <w:sz w:val="20"/>
          <w:szCs w:val="20"/>
          <w:lang w:val="en-US" w:eastAsia="uk-UA"/>
        </w:rPr>
        <w:t>;</w:t>
      </w:r>
      <w:r w:rsidRPr="00FE760B">
        <w:rPr>
          <w:sz w:val="20"/>
          <w:szCs w:val="20"/>
          <w:lang w:eastAsia="uk-UA"/>
        </w:rPr>
        <w:t xml:space="preserve"> 25</w:t>
      </w:r>
      <w:r w:rsidRPr="00FE760B">
        <w:rPr>
          <w:sz w:val="20"/>
          <w:szCs w:val="20"/>
          <w:lang w:val="en-US" w:eastAsia="uk-UA"/>
        </w:rPr>
        <w:t>(</w:t>
      </w:r>
      <w:r w:rsidRPr="00FE760B">
        <w:rPr>
          <w:sz w:val="20"/>
          <w:szCs w:val="20"/>
          <w:lang w:eastAsia="uk-UA"/>
        </w:rPr>
        <w:t>10</w:t>
      </w:r>
      <w:r w:rsidRPr="00FE760B">
        <w:rPr>
          <w:sz w:val="20"/>
          <w:szCs w:val="20"/>
          <w:lang w:val="en-US" w:eastAsia="uk-UA"/>
        </w:rPr>
        <w:t>):</w:t>
      </w:r>
      <w:r w:rsidRPr="00FE760B">
        <w:rPr>
          <w:sz w:val="20"/>
          <w:szCs w:val="20"/>
          <w:lang w:eastAsia="uk-UA"/>
        </w:rPr>
        <w:t xml:space="preserve"> 2146</w:t>
      </w:r>
      <w:r w:rsidRPr="00FE760B">
        <w:rPr>
          <w:sz w:val="20"/>
          <w:szCs w:val="20"/>
          <w:lang w:val="en-US" w:eastAsia="uk-UA"/>
        </w:rPr>
        <w:t>-</w:t>
      </w:r>
      <w:r w:rsidRPr="00FE760B">
        <w:rPr>
          <w:sz w:val="20"/>
          <w:szCs w:val="20"/>
          <w:lang w:eastAsia="uk-UA"/>
        </w:rPr>
        <w:t xml:space="preserve">61. </w:t>
      </w:r>
      <w:r w:rsidRPr="00FE760B">
        <w:rPr>
          <w:sz w:val="20"/>
          <w:szCs w:val="20"/>
          <w:lang w:val="en-US" w:eastAsia="uk-UA"/>
        </w:rPr>
        <w:t xml:space="preserve">DOI: </w:t>
      </w:r>
      <w:hyperlink r:id="rId122" w:history="1">
        <w:r w:rsidRPr="00FE760B">
          <w:rPr>
            <w:color w:val="0563C1"/>
            <w:sz w:val="20"/>
            <w:szCs w:val="20"/>
            <w:u w:val="single"/>
            <w:lang w:eastAsia="uk-UA"/>
          </w:rPr>
          <w:t>https://doi.org/10.1080/17430437.2022.2037565</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World Anti-Doping Agency. World Anti-Doping Code 2021. Montreal : WADA</w:t>
      </w:r>
      <w:r w:rsidRPr="00FE760B">
        <w:rPr>
          <w:sz w:val="20"/>
          <w:szCs w:val="20"/>
          <w:lang w:val="en-US" w:eastAsia="uk-UA"/>
        </w:rPr>
        <w:t>.</w:t>
      </w:r>
      <w:r w:rsidRPr="00FE760B">
        <w:rPr>
          <w:sz w:val="20"/>
          <w:szCs w:val="20"/>
          <w:lang w:eastAsia="uk-UA"/>
        </w:rPr>
        <w:t xml:space="preserve"> 2021. 225 p. URL: </w:t>
      </w:r>
      <w:hyperlink r:id="rId123" w:history="1">
        <w:r w:rsidRPr="00FE760B">
          <w:rPr>
            <w:color w:val="0563C1"/>
            <w:sz w:val="20"/>
            <w:szCs w:val="20"/>
            <w:u w:val="single"/>
            <w:lang w:eastAsia="uk-UA"/>
          </w:rPr>
          <w:t>https://www.wada-ama.org/en/resources/world-anti-doping-program/world-anti-doping-code</w:t>
        </w:r>
      </w:hyperlink>
      <w:r w:rsidRPr="00FE760B">
        <w:rPr>
          <w:sz w:val="20"/>
          <w:szCs w:val="20"/>
          <w:lang w:eastAsia="uk-UA"/>
        </w:rPr>
        <w:t>.</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North DC. Institutions, Institutional Change and Economic Performance. Cambridge: Cambridge University Press</w:t>
      </w:r>
      <w:r w:rsidRPr="00FE760B">
        <w:rPr>
          <w:sz w:val="20"/>
          <w:szCs w:val="20"/>
          <w:lang w:val="en-US" w:eastAsia="uk-UA"/>
        </w:rPr>
        <w:t>;</w:t>
      </w:r>
      <w:r w:rsidRPr="00FE760B">
        <w:rPr>
          <w:sz w:val="20"/>
          <w:szCs w:val="20"/>
          <w:lang w:eastAsia="uk-UA"/>
        </w:rPr>
        <w:t xml:space="preserve"> 1990. 152 p.</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Scott WR. Institutions and Organizations: Ideas and Interests. Thousand Oaks: Sage</w:t>
      </w:r>
      <w:r w:rsidRPr="00FE760B">
        <w:rPr>
          <w:sz w:val="20"/>
          <w:szCs w:val="20"/>
          <w:lang w:val="en-US" w:eastAsia="uk-UA"/>
        </w:rPr>
        <w:t>;</w:t>
      </w:r>
      <w:r w:rsidRPr="00FE760B">
        <w:rPr>
          <w:sz w:val="20"/>
          <w:szCs w:val="20"/>
          <w:lang w:eastAsia="uk-UA"/>
        </w:rPr>
        <w:t xml:space="preserve"> 2001. 255 p.</w:t>
      </w:r>
    </w:p>
    <w:p w:rsidR="00FE760B" w:rsidRPr="00FE760B" w:rsidRDefault="00FE760B" w:rsidP="00FE760B">
      <w:pPr>
        <w:numPr>
          <w:ilvl w:val="0"/>
          <w:numId w:val="11"/>
        </w:numPr>
        <w:spacing w:after="0" w:line="240" w:lineRule="auto"/>
        <w:ind w:left="0" w:firstLine="0"/>
        <w:jc w:val="both"/>
        <w:rPr>
          <w:sz w:val="20"/>
          <w:szCs w:val="20"/>
          <w:lang w:eastAsia="uk-UA"/>
        </w:rPr>
      </w:pPr>
      <w:r w:rsidRPr="00FE760B">
        <w:rPr>
          <w:sz w:val="20"/>
          <w:szCs w:val="20"/>
          <w:lang w:eastAsia="uk-UA"/>
        </w:rPr>
        <w:t>Special Olympics. Special Olympics Anti-Doping Policy. Washington: Special Olympics International, 2021. URL: https://media.specialolympics.org/resources/sports-essentials/general/Special-Olympics-Anti-Doping-Policy-2021.pdf (дата звернення: 01.03.2025).</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Pickett AC, Williams SE, Damon ZJ. Special Olympics involvement and families of individuals with intellectual disabilities: Impacts on sense of community, social isolation, and health. Managing Sport and Leisure. 2025</w:t>
      </w:r>
      <w:r w:rsidRPr="00FE760B">
        <w:rPr>
          <w:sz w:val="20"/>
          <w:szCs w:val="20"/>
          <w:lang w:val="en-US" w:eastAsia="uk-UA"/>
        </w:rPr>
        <w:t>;</w:t>
      </w:r>
      <w:r w:rsidRPr="00FE760B">
        <w:rPr>
          <w:sz w:val="20"/>
          <w:szCs w:val="20"/>
          <w:lang w:eastAsia="uk-UA"/>
        </w:rPr>
        <w:t xml:space="preserve"> 30</w:t>
      </w:r>
      <w:r w:rsidRPr="00FE760B">
        <w:rPr>
          <w:sz w:val="20"/>
          <w:szCs w:val="20"/>
          <w:lang w:val="en-US" w:eastAsia="uk-UA"/>
        </w:rPr>
        <w:t>(</w:t>
      </w:r>
      <w:r w:rsidRPr="00FE760B">
        <w:rPr>
          <w:sz w:val="20"/>
          <w:szCs w:val="20"/>
          <w:lang w:eastAsia="uk-UA"/>
        </w:rPr>
        <w:t>1</w:t>
      </w:r>
      <w:r w:rsidRPr="00FE760B">
        <w:rPr>
          <w:sz w:val="20"/>
          <w:szCs w:val="20"/>
          <w:lang w:val="en-US" w:eastAsia="uk-UA"/>
        </w:rPr>
        <w:t>):</w:t>
      </w:r>
      <w:r w:rsidRPr="00FE760B">
        <w:rPr>
          <w:sz w:val="20"/>
          <w:szCs w:val="20"/>
          <w:lang w:eastAsia="uk-UA"/>
        </w:rPr>
        <w:t>79</w:t>
      </w:r>
      <w:r w:rsidRPr="00FE760B">
        <w:rPr>
          <w:sz w:val="20"/>
          <w:szCs w:val="20"/>
          <w:lang w:val="en-US" w:eastAsia="uk-UA"/>
        </w:rPr>
        <w:t>-</w:t>
      </w:r>
      <w:r w:rsidRPr="00FE760B">
        <w:rPr>
          <w:sz w:val="20"/>
          <w:szCs w:val="20"/>
          <w:lang w:eastAsia="uk-UA"/>
        </w:rPr>
        <w:t xml:space="preserve">93. </w:t>
      </w:r>
      <w:r w:rsidRPr="00FE760B">
        <w:rPr>
          <w:sz w:val="20"/>
          <w:szCs w:val="20"/>
          <w:lang w:val="en-US" w:eastAsia="uk-UA"/>
        </w:rPr>
        <w:t xml:space="preserve">DOI: </w:t>
      </w:r>
      <w:hyperlink r:id="rId124" w:history="1">
        <w:r w:rsidRPr="00FE760B">
          <w:rPr>
            <w:color w:val="0563C1"/>
            <w:sz w:val="20"/>
            <w:szCs w:val="20"/>
            <w:u w:val="single"/>
            <w:lang w:eastAsia="uk-UA"/>
          </w:rPr>
          <w:t>https://doi.org/10.1080/23750472.2022.2145345</w:t>
        </w:r>
      </w:hyperlink>
      <w:r w:rsidRPr="00FE760B">
        <w:rPr>
          <w:sz w:val="20"/>
          <w:szCs w:val="20"/>
          <w:lang w:val="en-US" w:eastAsia="uk-UA"/>
        </w:rPr>
        <w:t xml:space="preserve">. </w:t>
      </w:r>
    </w:p>
    <w:p w:rsidR="00FE760B" w:rsidRPr="00FE760B" w:rsidRDefault="00FE760B" w:rsidP="00FE760B">
      <w:pPr>
        <w:numPr>
          <w:ilvl w:val="0"/>
          <w:numId w:val="11"/>
        </w:numPr>
        <w:spacing w:after="0" w:line="240" w:lineRule="auto"/>
        <w:ind w:left="0" w:firstLine="0"/>
        <w:jc w:val="both"/>
        <w:rPr>
          <w:sz w:val="20"/>
          <w:szCs w:val="20"/>
          <w:lang w:val="en-US" w:eastAsia="uk-UA"/>
        </w:rPr>
      </w:pPr>
      <w:r w:rsidRPr="00FE760B">
        <w:rPr>
          <w:sz w:val="20"/>
          <w:szCs w:val="20"/>
          <w:lang w:eastAsia="uk-UA"/>
        </w:rPr>
        <w:t>Giese M, Buchner T, Mihajlovic C, Oldörp F. The subject of Special Olympics – interrogating the inclusive potentials of a sport movement from an ableism-critical perspective. Sport in Society. 2022</w:t>
      </w:r>
      <w:r w:rsidRPr="00FE760B">
        <w:rPr>
          <w:sz w:val="20"/>
          <w:szCs w:val="20"/>
          <w:lang w:val="en-US" w:eastAsia="uk-UA"/>
        </w:rPr>
        <w:t>;</w:t>
      </w:r>
      <w:r w:rsidRPr="00FE760B">
        <w:rPr>
          <w:sz w:val="20"/>
          <w:szCs w:val="20"/>
          <w:lang w:eastAsia="uk-UA"/>
        </w:rPr>
        <w:t xml:space="preserve"> 25</w:t>
      </w:r>
      <w:r w:rsidRPr="00FE760B">
        <w:rPr>
          <w:sz w:val="20"/>
          <w:szCs w:val="20"/>
          <w:lang w:val="en-US" w:eastAsia="uk-UA"/>
        </w:rPr>
        <w:t>(</w:t>
      </w:r>
      <w:r w:rsidRPr="00FE760B">
        <w:rPr>
          <w:sz w:val="20"/>
          <w:szCs w:val="20"/>
          <w:lang w:eastAsia="uk-UA"/>
        </w:rPr>
        <w:t>10</w:t>
      </w:r>
      <w:r w:rsidRPr="00FE760B">
        <w:rPr>
          <w:sz w:val="20"/>
          <w:szCs w:val="20"/>
          <w:lang w:val="en-US" w:eastAsia="uk-UA"/>
        </w:rPr>
        <w:t>):</w:t>
      </w:r>
      <w:r w:rsidRPr="00FE760B">
        <w:rPr>
          <w:sz w:val="20"/>
          <w:szCs w:val="20"/>
          <w:lang w:eastAsia="uk-UA"/>
        </w:rPr>
        <w:t>2178</w:t>
      </w:r>
      <w:r w:rsidRPr="00FE760B">
        <w:rPr>
          <w:sz w:val="20"/>
          <w:szCs w:val="20"/>
          <w:lang w:val="en-US" w:eastAsia="uk-UA"/>
        </w:rPr>
        <w:t>-</w:t>
      </w:r>
      <w:r w:rsidRPr="00FE760B">
        <w:rPr>
          <w:sz w:val="20"/>
          <w:szCs w:val="20"/>
          <w:lang w:eastAsia="uk-UA"/>
        </w:rPr>
        <w:t xml:space="preserve">92. </w:t>
      </w:r>
      <w:r w:rsidRPr="00FE760B">
        <w:rPr>
          <w:sz w:val="20"/>
          <w:szCs w:val="20"/>
          <w:lang w:val="en-US" w:eastAsia="uk-UA"/>
        </w:rPr>
        <w:t xml:space="preserve">DOI: </w:t>
      </w:r>
      <w:hyperlink r:id="rId125" w:history="1">
        <w:r w:rsidRPr="00FE760B">
          <w:rPr>
            <w:color w:val="0563C1"/>
            <w:sz w:val="20"/>
            <w:szCs w:val="20"/>
            <w:u w:val="single"/>
            <w:lang w:eastAsia="uk-UA"/>
          </w:rPr>
          <w:t>https://doi.org/10.1080/17430437.2022.2113061</w:t>
        </w:r>
      </w:hyperlink>
      <w:r w:rsidRPr="00FE760B">
        <w:rPr>
          <w:sz w:val="20"/>
          <w:szCs w:val="20"/>
          <w:lang w:val="en-US" w:eastAsia="uk-UA"/>
        </w:rPr>
        <w:t xml:space="preserve">. </w:t>
      </w:r>
      <w:r w:rsidRPr="00FE760B">
        <w:rPr>
          <w:sz w:val="20"/>
          <w:szCs w:val="20"/>
          <w:lang w:val="en-US" w:eastAsia="uk-UA"/>
        </w:rPr>
        <w:tab/>
      </w:r>
    </w:p>
    <w:p w:rsidR="00FE760B" w:rsidRPr="00FE760B" w:rsidRDefault="00FE760B" w:rsidP="00FE760B">
      <w:pPr>
        <w:autoSpaceDE w:val="0"/>
        <w:autoSpaceDN w:val="0"/>
        <w:adjustRightInd w:val="0"/>
        <w:spacing w:after="0" w:line="240" w:lineRule="auto"/>
        <w:ind w:left="1069"/>
        <w:jc w:val="both"/>
        <w:rPr>
          <w:rFonts w:eastAsia="Aptos"/>
          <w:sz w:val="20"/>
          <w:szCs w:val="20"/>
        </w:rPr>
      </w:pPr>
    </w:p>
    <w:tbl>
      <w:tblPr>
        <w:tblStyle w:val="3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FE760B" w:rsidRPr="00FE760B" w:rsidTr="00FE760B">
        <w:tc>
          <w:tcPr>
            <w:tcW w:w="9286" w:type="dxa"/>
            <w:shd w:val="clear" w:color="auto" w:fill="BFBFBF"/>
          </w:tcPr>
          <w:p w:rsidR="00FE760B" w:rsidRPr="00FE760B" w:rsidRDefault="00FE760B" w:rsidP="00FE760B">
            <w:pPr>
              <w:spacing w:after="0"/>
              <w:jc w:val="both"/>
              <w:rPr>
                <w:rFonts w:eastAsia="SimSun"/>
                <w:b/>
                <w:sz w:val="20"/>
                <w:szCs w:val="20"/>
                <w:lang w:val="en-US" w:eastAsia="zh-CN"/>
              </w:rPr>
            </w:pPr>
            <w:r w:rsidRPr="00FE760B">
              <w:rPr>
                <w:rFonts w:eastAsia="SimSun"/>
                <w:b/>
                <w:sz w:val="20"/>
                <w:szCs w:val="24"/>
                <w:lang w:val="en-US" w:eastAsia="zh-CN"/>
              </w:rPr>
              <w:t>Цитування на</w:t>
            </w:r>
            <w:r w:rsidRPr="00FE760B">
              <w:rPr>
                <w:rFonts w:eastAsia="SimSun"/>
                <w:b/>
                <w:spacing w:val="2"/>
                <w:sz w:val="20"/>
                <w:szCs w:val="24"/>
                <w:lang w:val="en-US" w:eastAsia="zh-CN"/>
              </w:rPr>
              <w:t xml:space="preserve"> </w:t>
            </w:r>
            <w:r w:rsidRPr="00FE760B">
              <w:rPr>
                <w:rFonts w:eastAsia="SimSun"/>
                <w:b/>
                <w:sz w:val="20"/>
                <w:szCs w:val="24"/>
                <w:lang w:val="en-US" w:eastAsia="zh-CN"/>
              </w:rPr>
              <w:t>цю статтю:</w:t>
            </w:r>
          </w:p>
        </w:tc>
      </w:tr>
      <w:tr w:rsidR="00FE760B" w:rsidRPr="00FE760B" w:rsidTr="00C07F42">
        <w:tc>
          <w:tcPr>
            <w:tcW w:w="9286" w:type="dxa"/>
          </w:tcPr>
          <w:p w:rsidR="00FE760B" w:rsidRPr="00FE760B" w:rsidRDefault="00FE760B" w:rsidP="00FE760B">
            <w:pPr>
              <w:spacing w:after="0" w:line="240" w:lineRule="auto"/>
              <w:jc w:val="both"/>
              <w:rPr>
                <w:rFonts w:eastAsia="SimSun"/>
                <w:i/>
                <w:sz w:val="20"/>
                <w:szCs w:val="20"/>
                <w:lang w:val="ru-RU" w:eastAsia="zh-CN"/>
              </w:rPr>
            </w:pPr>
            <w:r w:rsidRPr="00FE760B">
              <w:rPr>
                <w:rFonts w:eastAsia="SimSun" w:cs="Mangal"/>
                <w:kern w:val="1"/>
                <w:sz w:val="20"/>
                <w:szCs w:val="20"/>
                <w:shd w:val="clear" w:color="auto" w:fill="FFFFFF"/>
                <w:lang w:val="ru-RU" w:eastAsia="zh-CN" w:bidi="hi-IN"/>
              </w:rPr>
              <w:t>Гончаренко ЄВ, Анікєєв ДМ, Степанюк ОВ</w:t>
            </w:r>
            <w:r w:rsidRPr="00FE760B">
              <w:rPr>
                <w:rFonts w:eastAsia="SimSun" w:cs="Mangal"/>
                <w:kern w:val="1"/>
                <w:sz w:val="20"/>
                <w:szCs w:val="20"/>
                <w:lang w:val="ru-RU" w:eastAsia="zh-CN" w:bidi="hi-IN"/>
              </w:rPr>
              <w:t xml:space="preserve">. </w:t>
            </w:r>
            <w:r w:rsidRPr="00FE760B">
              <w:rPr>
                <w:rFonts w:eastAsia="SimSun"/>
                <w:bCs/>
                <w:sz w:val="20"/>
                <w:szCs w:val="20"/>
                <w:lang w:eastAsia="zh-CN"/>
              </w:rPr>
              <w:t>Порівняльний аналіз підходів до антидопінгової освіти в адаптивному спорті на матеріалі</w:t>
            </w:r>
            <w:r w:rsidRPr="00FE760B">
              <w:rPr>
                <w:rFonts w:eastAsia="SimSun"/>
                <w:bCs/>
                <w:sz w:val="20"/>
                <w:szCs w:val="20"/>
                <w:lang w:val="ru-RU" w:eastAsia="zh-CN"/>
              </w:rPr>
              <w:t xml:space="preserve"> IPC, INAS та Special Olympics</w:t>
            </w:r>
            <w:r w:rsidRPr="00FE760B">
              <w:rPr>
                <w:rFonts w:eastAsia="SimSun" w:cs="Mangal"/>
                <w:kern w:val="1"/>
                <w:sz w:val="20"/>
                <w:szCs w:val="20"/>
                <w:lang w:val="ru-RU" w:eastAsia="zh-CN" w:bidi="hi-IN"/>
              </w:rPr>
              <w:t xml:space="preserve">. </w:t>
            </w:r>
            <w:r w:rsidRPr="00FE760B">
              <w:rPr>
                <w:rFonts w:eastAsia="SimSun"/>
                <w:sz w:val="20"/>
                <w:szCs w:val="20"/>
                <w:lang w:eastAsia="zh-CN"/>
              </w:rPr>
              <w:t>Вісник Прикарпатського університету</w:t>
            </w:r>
            <w:r w:rsidRPr="00FE760B">
              <w:rPr>
                <w:rFonts w:eastAsia="SimSun"/>
                <w:kern w:val="1"/>
                <w:sz w:val="20"/>
                <w:szCs w:val="20"/>
                <w:lang w:val="ru-RU" w:eastAsia="zh-CN" w:bidi="hi-IN"/>
              </w:rPr>
              <w:t xml:space="preserve"> Серія:</w:t>
            </w:r>
            <w:r w:rsidRPr="00FE760B">
              <w:rPr>
                <w:rFonts w:eastAsia="SimSun" w:cs="Mangal"/>
                <w:kern w:val="1"/>
                <w:sz w:val="20"/>
                <w:szCs w:val="20"/>
                <w:lang w:val="ru-RU" w:eastAsia="zh-CN" w:bidi="hi-IN"/>
              </w:rPr>
              <w:t xml:space="preserve"> </w:t>
            </w:r>
            <w:r w:rsidRPr="00FE760B">
              <w:rPr>
                <w:rFonts w:eastAsia="SimSun"/>
                <w:kern w:val="1"/>
                <w:sz w:val="20"/>
                <w:szCs w:val="20"/>
                <w:lang w:val="ru-RU" w:eastAsia="zh-CN" w:bidi="hi-IN"/>
              </w:rPr>
              <w:t>Фізична</w:t>
            </w:r>
            <w:r w:rsidRPr="00FE760B">
              <w:rPr>
                <w:rFonts w:eastAsia="SimSun" w:cs="Mangal"/>
                <w:kern w:val="1"/>
                <w:sz w:val="20"/>
                <w:szCs w:val="20"/>
                <w:lang w:val="ru-RU" w:eastAsia="zh-CN" w:bidi="hi-IN"/>
              </w:rPr>
              <w:t xml:space="preserve"> </w:t>
            </w:r>
            <w:r w:rsidRPr="00FE760B">
              <w:rPr>
                <w:rFonts w:eastAsia="SimSun"/>
                <w:spacing w:val="-1"/>
                <w:kern w:val="1"/>
                <w:sz w:val="20"/>
                <w:szCs w:val="20"/>
                <w:lang w:val="ru-RU" w:eastAsia="zh-CN" w:bidi="hi-IN"/>
              </w:rPr>
              <w:t>культура.</w:t>
            </w:r>
            <w:r w:rsidRPr="00FE760B">
              <w:rPr>
                <w:rFonts w:eastAsia="SimSun" w:cs="Mangal"/>
                <w:spacing w:val="5"/>
                <w:kern w:val="1"/>
                <w:sz w:val="20"/>
                <w:szCs w:val="20"/>
                <w:lang w:val="ru-RU" w:eastAsia="zh-CN" w:bidi="hi-IN"/>
              </w:rPr>
              <w:t xml:space="preserve"> </w:t>
            </w:r>
            <w:r w:rsidRPr="00FE760B">
              <w:rPr>
                <w:rFonts w:eastAsia="SimSun" w:cs="Mangal"/>
                <w:spacing w:val="1"/>
                <w:kern w:val="1"/>
                <w:sz w:val="20"/>
                <w:szCs w:val="20"/>
                <w:lang w:val="ru-RU" w:eastAsia="zh-CN" w:bidi="hi-IN"/>
              </w:rPr>
              <w:t>202</w:t>
            </w:r>
            <w:r w:rsidRPr="00FE760B">
              <w:rPr>
                <w:rFonts w:eastAsia="SimSun" w:cs="Mangal"/>
                <w:spacing w:val="1"/>
                <w:kern w:val="1"/>
                <w:sz w:val="20"/>
                <w:szCs w:val="20"/>
                <w:lang w:eastAsia="zh-CN" w:bidi="hi-IN"/>
              </w:rPr>
              <w:t>6</w:t>
            </w:r>
            <w:r w:rsidRPr="00FE760B">
              <w:rPr>
                <w:rFonts w:eastAsia="SimSun" w:cs="Mangal"/>
                <w:kern w:val="1"/>
                <w:sz w:val="20"/>
                <w:szCs w:val="20"/>
                <w:lang w:val="ru-RU" w:eastAsia="zh-CN" w:bidi="hi-IN"/>
              </w:rPr>
              <w:t xml:space="preserve"> </w:t>
            </w:r>
            <w:r w:rsidRPr="00FE760B">
              <w:rPr>
                <w:rFonts w:eastAsia="SimSun"/>
                <w:spacing w:val="-1"/>
                <w:kern w:val="1"/>
                <w:sz w:val="20"/>
                <w:szCs w:val="20"/>
                <w:lang w:eastAsia="zh-CN" w:bidi="hi-IN"/>
              </w:rPr>
              <w:t>Трав</w:t>
            </w:r>
            <w:r w:rsidRPr="00FE760B">
              <w:rPr>
                <w:rFonts w:eastAsia="SimSun"/>
                <w:spacing w:val="-1"/>
                <w:kern w:val="1"/>
                <w:sz w:val="20"/>
                <w:szCs w:val="20"/>
                <w:lang w:val="ru-RU" w:eastAsia="zh-CN" w:bidi="hi-IN"/>
              </w:rPr>
              <w:t>ень 0</w:t>
            </w:r>
            <w:r w:rsidRPr="00FE760B">
              <w:rPr>
                <w:rFonts w:eastAsia="SimSun"/>
                <w:spacing w:val="-1"/>
                <w:kern w:val="1"/>
                <w:sz w:val="20"/>
                <w:szCs w:val="20"/>
                <w:lang w:eastAsia="zh-CN" w:bidi="hi-IN"/>
              </w:rPr>
              <w:t>5</w:t>
            </w:r>
            <w:r w:rsidRPr="00FE760B">
              <w:rPr>
                <w:rFonts w:eastAsia="SimSun" w:cs="Mangal"/>
                <w:spacing w:val="1"/>
                <w:kern w:val="1"/>
                <w:sz w:val="20"/>
                <w:szCs w:val="20"/>
                <w:lang w:val="ru-RU" w:eastAsia="zh-CN" w:bidi="hi-IN"/>
              </w:rPr>
              <w:t>;</w:t>
            </w:r>
            <w:r w:rsidRPr="00FE760B">
              <w:rPr>
                <w:rFonts w:eastAsia="SimSun" w:cs="Mangal"/>
                <w:spacing w:val="-1"/>
                <w:kern w:val="1"/>
                <w:sz w:val="20"/>
                <w:szCs w:val="20"/>
                <w:lang w:val="ru-RU" w:eastAsia="zh-CN" w:bidi="hi-IN"/>
              </w:rPr>
              <w:t xml:space="preserve"> </w:t>
            </w:r>
            <w:r w:rsidRPr="00FE760B">
              <w:rPr>
                <w:rFonts w:eastAsia="SimSun" w:cs="Mangal"/>
                <w:spacing w:val="1"/>
                <w:kern w:val="1"/>
                <w:sz w:val="20"/>
                <w:szCs w:val="20"/>
                <w:lang w:val="ru-RU" w:eastAsia="zh-CN" w:bidi="hi-IN"/>
              </w:rPr>
              <w:t>4</w:t>
            </w:r>
            <w:r w:rsidRPr="00FE760B">
              <w:rPr>
                <w:rFonts w:eastAsia="SimSun" w:cs="Mangal"/>
                <w:spacing w:val="1"/>
                <w:kern w:val="1"/>
                <w:sz w:val="20"/>
                <w:szCs w:val="20"/>
                <w:lang w:eastAsia="zh-CN" w:bidi="hi-IN"/>
              </w:rPr>
              <w:t>6</w:t>
            </w:r>
            <w:r w:rsidRPr="00FE760B">
              <w:rPr>
                <w:rFonts w:eastAsia="SimSun" w:cs="Mangal"/>
                <w:spacing w:val="1"/>
                <w:kern w:val="1"/>
                <w:sz w:val="20"/>
                <w:szCs w:val="20"/>
                <w:lang w:val="ru-RU" w:eastAsia="zh-CN" w:bidi="hi-IN"/>
              </w:rPr>
              <w:t xml:space="preserve">: </w:t>
            </w:r>
            <w:r w:rsidRPr="00FE760B">
              <w:rPr>
                <w:rFonts w:eastAsia="SimSun" w:cs="Mangal"/>
                <w:kern w:val="1"/>
                <w:sz w:val="20"/>
                <w:szCs w:val="20"/>
                <w:lang w:eastAsia="zh-CN" w:bidi="hi-IN"/>
              </w:rPr>
              <w:t>30</w:t>
            </w:r>
            <w:r w:rsidRPr="00FE760B">
              <w:rPr>
                <w:rFonts w:eastAsia="SimSun" w:cs="Mangal"/>
                <w:kern w:val="1"/>
                <w:sz w:val="20"/>
                <w:szCs w:val="20"/>
                <w:lang w:val="ru-RU" w:eastAsia="zh-CN" w:bidi="hi-IN"/>
              </w:rPr>
              <w:t>-</w:t>
            </w:r>
            <w:r w:rsidRPr="00FE760B">
              <w:rPr>
                <w:rFonts w:eastAsia="SimSun" w:cs="Mangal"/>
                <w:kern w:val="1"/>
                <w:sz w:val="20"/>
                <w:szCs w:val="20"/>
                <w:lang w:eastAsia="zh-CN" w:bidi="hi-IN"/>
              </w:rPr>
              <w:t>38</w:t>
            </w:r>
            <w:r w:rsidRPr="00FE760B">
              <w:rPr>
                <w:rFonts w:eastAsia="SimSun"/>
                <w:sz w:val="20"/>
                <w:szCs w:val="20"/>
                <w:lang w:val="ru-RU" w:eastAsia="zh-CN"/>
              </w:rPr>
              <w:t>.</w:t>
            </w:r>
          </w:p>
        </w:tc>
      </w:tr>
    </w:tbl>
    <w:p w:rsidR="00FE760B" w:rsidRPr="00FE760B" w:rsidRDefault="00FE760B" w:rsidP="00FE760B">
      <w:pPr>
        <w:autoSpaceDE w:val="0"/>
        <w:autoSpaceDN w:val="0"/>
        <w:adjustRightInd w:val="0"/>
        <w:spacing w:after="0" w:line="240" w:lineRule="auto"/>
        <w:ind w:left="709"/>
        <w:jc w:val="both"/>
        <w:rPr>
          <w:rFonts w:eastAsia="Aptos"/>
          <w:sz w:val="20"/>
          <w:szCs w:val="20"/>
        </w:rPr>
      </w:pPr>
    </w:p>
    <w:tbl>
      <w:tblPr>
        <w:tblStyle w:val="3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070"/>
      </w:tblGrid>
      <w:tr w:rsidR="00FE760B" w:rsidRPr="00FE760B" w:rsidTr="00FE760B">
        <w:tc>
          <w:tcPr>
            <w:tcW w:w="9070" w:type="dxa"/>
            <w:shd w:val="clear" w:color="auto" w:fill="BFBFBF"/>
          </w:tcPr>
          <w:p w:rsidR="00FE760B" w:rsidRPr="00FE760B" w:rsidRDefault="00FE760B" w:rsidP="00FE760B">
            <w:pPr>
              <w:spacing w:after="0"/>
              <w:jc w:val="both"/>
              <w:rPr>
                <w:rFonts w:eastAsia="SimSun"/>
                <w:b/>
                <w:sz w:val="20"/>
                <w:szCs w:val="20"/>
                <w:lang w:val="en-US" w:eastAsia="zh-CN"/>
              </w:rPr>
            </w:pPr>
            <w:r w:rsidRPr="00FE760B">
              <w:rPr>
                <w:rFonts w:eastAsia="SimSun"/>
                <w:b/>
                <w:sz w:val="20"/>
                <w:szCs w:val="20"/>
                <w:lang w:val="en-US" w:eastAsia="zh-CN"/>
              </w:rPr>
              <w:t>Відомості про авторів</w:t>
            </w:r>
          </w:p>
        </w:tc>
      </w:tr>
      <w:tr w:rsidR="00FE760B" w:rsidRPr="00FE760B" w:rsidTr="00C07F42">
        <w:tc>
          <w:tcPr>
            <w:tcW w:w="9070" w:type="dxa"/>
          </w:tcPr>
          <w:p w:rsidR="00FE760B" w:rsidRPr="00FE760B" w:rsidRDefault="00FE760B" w:rsidP="00FE760B">
            <w:pPr>
              <w:spacing w:after="0" w:line="240" w:lineRule="auto"/>
              <w:jc w:val="both"/>
              <w:rPr>
                <w:sz w:val="20"/>
                <w:szCs w:val="20"/>
                <w:lang w:val="ru-RU"/>
              </w:rPr>
            </w:pPr>
            <w:r w:rsidRPr="00FE760B">
              <w:rPr>
                <w:b/>
                <w:i/>
                <w:sz w:val="20"/>
                <w:szCs w:val="20"/>
              </w:rPr>
              <w:t>Гончаренко Євген Володимирович</w:t>
            </w:r>
            <w:r w:rsidRPr="00FE760B">
              <w:rPr>
                <w:sz w:val="20"/>
                <w:szCs w:val="20"/>
              </w:rPr>
              <w:t xml:space="preserve"> - кандидат наук з фізичного виховання і спорту, доцент, декан тренерського факультету, </w:t>
            </w:r>
            <w:r w:rsidRPr="00FE760B">
              <w:rPr>
                <w:sz w:val="20"/>
                <w:szCs w:val="20"/>
                <w:lang w:val="ru-RU"/>
              </w:rPr>
              <w:t>Національний університет фізичного виховання і спорту України</w:t>
            </w:r>
          </w:p>
          <w:p w:rsidR="00FE760B" w:rsidRPr="00FE760B" w:rsidRDefault="003D6B4F" w:rsidP="00FE760B">
            <w:pPr>
              <w:spacing w:after="0" w:line="240" w:lineRule="auto"/>
              <w:jc w:val="both"/>
              <w:rPr>
                <w:sz w:val="20"/>
                <w:szCs w:val="20"/>
              </w:rPr>
            </w:pPr>
            <w:hyperlink r:id="rId126" w:history="1">
              <w:r w:rsidR="00FE760B" w:rsidRPr="00FE760B">
                <w:rPr>
                  <w:sz w:val="20"/>
                  <w:szCs w:val="20"/>
                  <w:u w:val="single"/>
                </w:rPr>
                <w:t>https://orcid.org/0000-0002-7196-3061</w:t>
              </w:r>
            </w:hyperlink>
          </w:p>
          <w:p w:rsidR="00FE760B" w:rsidRPr="00FE760B" w:rsidRDefault="00FE760B" w:rsidP="00FE760B">
            <w:pPr>
              <w:spacing w:after="0" w:line="240" w:lineRule="auto"/>
              <w:jc w:val="both"/>
              <w:rPr>
                <w:i/>
                <w:sz w:val="20"/>
                <w:szCs w:val="20"/>
              </w:rPr>
            </w:pPr>
            <w:r w:rsidRPr="00FE760B">
              <w:rPr>
                <w:sz w:val="20"/>
                <w:szCs w:val="20"/>
              </w:rPr>
              <w:t xml:space="preserve">e-mail: </w:t>
            </w:r>
            <w:hyperlink r:id="rId127" w:history="1">
              <w:r w:rsidRPr="00FE760B">
                <w:rPr>
                  <w:sz w:val="20"/>
                  <w:szCs w:val="20"/>
                  <w:u w:val="single"/>
                </w:rPr>
                <w:t>yehoncharenko@uni-sport.edu.ua</w:t>
              </w:r>
            </w:hyperlink>
          </w:p>
        </w:tc>
      </w:tr>
      <w:tr w:rsidR="00FE760B" w:rsidRPr="00FE760B" w:rsidTr="00C07F42">
        <w:tc>
          <w:tcPr>
            <w:tcW w:w="9070" w:type="dxa"/>
          </w:tcPr>
          <w:p w:rsidR="00FE760B" w:rsidRPr="00FE760B" w:rsidRDefault="00FE760B" w:rsidP="00FE760B">
            <w:pPr>
              <w:spacing w:after="0" w:line="240" w:lineRule="auto"/>
              <w:jc w:val="both"/>
              <w:rPr>
                <w:sz w:val="20"/>
                <w:szCs w:val="20"/>
                <w:lang w:val="ru-RU"/>
              </w:rPr>
            </w:pPr>
            <w:r w:rsidRPr="00FE760B">
              <w:rPr>
                <w:b/>
                <w:i/>
                <w:sz w:val="20"/>
                <w:szCs w:val="20"/>
              </w:rPr>
              <w:t>Анікєєв Дмитро Михайлович</w:t>
            </w:r>
            <w:r w:rsidRPr="00FE760B">
              <w:rPr>
                <w:sz w:val="20"/>
                <w:szCs w:val="20"/>
              </w:rPr>
              <w:t xml:space="preserve"> - кандидат наук з фізичного виховання і спорту, доцент, </w:t>
            </w:r>
            <w:r w:rsidRPr="00FE760B">
              <w:rPr>
                <w:sz w:val="20"/>
                <w:szCs w:val="20"/>
                <w:lang w:val="ru-RU"/>
              </w:rPr>
              <w:t>Національний університет фізичного виховання і спорту України</w:t>
            </w:r>
          </w:p>
          <w:p w:rsidR="00FE760B" w:rsidRPr="00FE760B" w:rsidRDefault="00FE760B" w:rsidP="00FE760B">
            <w:pPr>
              <w:spacing w:after="0" w:line="240" w:lineRule="auto"/>
              <w:jc w:val="both"/>
              <w:rPr>
                <w:rFonts w:eastAsia="SimSun"/>
                <w:sz w:val="20"/>
                <w:szCs w:val="20"/>
                <w:lang w:eastAsia="zh-CN"/>
              </w:rPr>
            </w:pPr>
            <w:r w:rsidRPr="00FE760B">
              <w:rPr>
                <w:rFonts w:eastAsia="SimSun"/>
                <w:sz w:val="20"/>
                <w:szCs w:val="20"/>
                <w:lang w:val="en-US" w:eastAsia="zh-CN"/>
              </w:rPr>
              <w:t>https</w:t>
            </w:r>
            <w:r w:rsidRPr="00FE760B">
              <w:rPr>
                <w:rFonts w:eastAsia="SimSun"/>
                <w:sz w:val="20"/>
                <w:szCs w:val="20"/>
                <w:lang w:val="ru-RU" w:eastAsia="zh-CN"/>
              </w:rPr>
              <w:t>://</w:t>
            </w:r>
            <w:r w:rsidRPr="00FE760B">
              <w:rPr>
                <w:rFonts w:eastAsia="SimSun"/>
                <w:sz w:val="20"/>
                <w:szCs w:val="20"/>
                <w:lang w:val="en-US" w:eastAsia="zh-CN"/>
              </w:rPr>
              <w:t>orcid</w:t>
            </w:r>
            <w:r w:rsidRPr="00FE760B">
              <w:rPr>
                <w:rFonts w:eastAsia="SimSun"/>
                <w:sz w:val="20"/>
                <w:szCs w:val="20"/>
                <w:lang w:val="ru-RU" w:eastAsia="zh-CN"/>
              </w:rPr>
              <w:t>.</w:t>
            </w:r>
            <w:r w:rsidRPr="00FE760B">
              <w:rPr>
                <w:rFonts w:eastAsia="SimSun"/>
                <w:sz w:val="20"/>
                <w:szCs w:val="20"/>
                <w:lang w:val="en-US" w:eastAsia="zh-CN"/>
              </w:rPr>
              <w:t>org</w:t>
            </w:r>
            <w:r w:rsidRPr="00FE760B">
              <w:rPr>
                <w:rFonts w:eastAsia="SimSun"/>
                <w:sz w:val="20"/>
                <w:szCs w:val="20"/>
                <w:lang w:val="ru-RU" w:eastAsia="zh-CN"/>
              </w:rPr>
              <w:t>/0000-0001-8931-2067</w:t>
            </w:r>
          </w:p>
          <w:p w:rsidR="00FE760B" w:rsidRPr="00FE760B" w:rsidRDefault="00FE760B" w:rsidP="00FE760B">
            <w:pPr>
              <w:spacing w:after="0" w:line="240" w:lineRule="auto"/>
              <w:jc w:val="both"/>
              <w:rPr>
                <w:rFonts w:eastAsia="SimSun"/>
                <w:kern w:val="1"/>
                <w:sz w:val="20"/>
                <w:szCs w:val="20"/>
                <w:lang w:eastAsia="zh-CN" w:bidi="hi-IN"/>
              </w:rPr>
            </w:pPr>
            <w:r w:rsidRPr="00FE760B">
              <w:rPr>
                <w:rFonts w:eastAsia="SimSun"/>
                <w:sz w:val="20"/>
                <w:szCs w:val="20"/>
                <w:lang w:val="en-US" w:eastAsia="zh-CN"/>
              </w:rPr>
              <w:t>e</w:t>
            </w:r>
            <w:r w:rsidRPr="00FE760B">
              <w:rPr>
                <w:rFonts w:eastAsia="SimSun"/>
                <w:sz w:val="20"/>
                <w:szCs w:val="20"/>
                <w:lang w:val="ru-RU" w:eastAsia="zh-CN"/>
              </w:rPr>
              <w:t>-</w:t>
            </w:r>
            <w:r w:rsidRPr="00FE760B">
              <w:rPr>
                <w:rFonts w:eastAsia="SimSun"/>
                <w:sz w:val="20"/>
                <w:szCs w:val="20"/>
                <w:lang w:val="en-US" w:eastAsia="zh-CN"/>
              </w:rPr>
              <w:t>mail</w:t>
            </w:r>
            <w:r w:rsidRPr="00FE760B">
              <w:rPr>
                <w:rFonts w:eastAsia="SimSun"/>
                <w:sz w:val="20"/>
                <w:szCs w:val="20"/>
                <w:lang w:val="ru-RU" w:eastAsia="zh-CN"/>
              </w:rPr>
              <w:t>:</w:t>
            </w:r>
            <w:r w:rsidRPr="00FE760B">
              <w:rPr>
                <w:rFonts w:eastAsia="SimSun"/>
                <w:sz w:val="20"/>
                <w:szCs w:val="20"/>
                <w:lang w:eastAsia="zh-CN"/>
              </w:rPr>
              <w:t xml:space="preserve"> </w:t>
            </w:r>
            <w:hyperlink r:id="rId128" w:history="1">
              <w:r w:rsidRPr="00FE760B">
                <w:rPr>
                  <w:rFonts w:eastAsia="SimSun"/>
                  <w:bCs/>
                  <w:iCs/>
                  <w:sz w:val="20"/>
                  <w:szCs w:val="20"/>
                  <w:u w:val="single"/>
                  <w:lang w:val="en-US" w:eastAsia="zh-CN"/>
                </w:rPr>
                <w:t>danikeiev</w:t>
              </w:r>
              <w:r w:rsidRPr="00FE760B">
                <w:rPr>
                  <w:rFonts w:eastAsia="SimSun"/>
                  <w:bCs/>
                  <w:iCs/>
                  <w:sz w:val="20"/>
                  <w:szCs w:val="20"/>
                  <w:u w:val="single"/>
                  <w:lang w:val="ru-RU" w:eastAsia="zh-CN"/>
                </w:rPr>
                <w:t>@</w:t>
              </w:r>
              <w:r w:rsidRPr="00FE760B">
                <w:rPr>
                  <w:rFonts w:eastAsia="SimSun"/>
                  <w:bCs/>
                  <w:iCs/>
                  <w:sz w:val="20"/>
                  <w:szCs w:val="20"/>
                  <w:u w:val="single"/>
                  <w:lang w:val="en-US" w:eastAsia="zh-CN"/>
                </w:rPr>
                <w:t>uni</w:t>
              </w:r>
              <w:r w:rsidRPr="00FE760B">
                <w:rPr>
                  <w:rFonts w:eastAsia="SimSun"/>
                  <w:bCs/>
                  <w:iCs/>
                  <w:sz w:val="20"/>
                  <w:szCs w:val="20"/>
                  <w:u w:val="single"/>
                  <w:lang w:val="ru-RU" w:eastAsia="zh-CN"/>
                </w:rPr>
                <w:t>-</w:t>
              </w:r>
              <w:r w:rsidRPr="00FE760B">
                <w:rPr>
                  <w:rFonts w:eastAsia="SimSun"/>
                  <w:bCs/>
                  <w:iCs/>
                  <w:sz w:val="20"/>
                  <w:szCs w:val="20"/>
                  <w:u w:val="single"/>
                  <w:lang w:val="en-US" w:eastAsia="zh-CN"/>
                </w:rPr>
                <w:t>sport</w:t>
              </w:r>
              <w:r w:rsidRPr="00FE760B">
                <w:rPr>
                  <w:rFonts w:eastAsia="SimSun"/>
                  <w:bCs/>
                  <w:iCs/>
                  <w:sz w:val="20"/>
                  <w:szCs w:val="20"/>
                  <w:u w:val="single"/>
                  <w:lang w:val="ru-RU" w:eastAsia="zh-CN"/>
                </w:rPr>
                <w:t>.</w:t>
              </w:r>
              <w:r w:rsidRPr="00FE760B">
                <w:rPr>
                  <w:rFonts w:eastAsia="SimSun"/>
                  <w:bCs/>
                  <w:iCs/>
                  <w:sz w:val="20"/>
                  <w:szCs w:val="20"/>
                  <w:u w:val="single"/>
                  <w:lang w:val="en-US" w:eastAsia="zh-CN"/>
                </w:rPr>
                <w:t>edu</w:t>
              </w:r>
              <w:r w:rsidRPr="00FE760B">
                <w:rPr>
                  <w:rFonts w:eastAsia="SimSun"/>
                  <w:bCs/>
                  <w:iCs/>
                  <w:sz w:val="20"/>
                  <w:szCs w:val="20"/>
                  <w:u w:val="single"/>
                  <w:lang w:val="ru-RU" w:eastAsia="zh-CN"/>
                </w:rPr>
                <w:t>.</w:t>
              </w:r>
              <w:r w:rsidRPr="00FE760B">
                <w:rPr>
                  <w:rFonts w:eastAsia="SimSun"/>
                  <w:bCs/>
                  <w:iCs/>
                  <w:sz w:val="20"/>
                  <w:szCs w:val="20"/>
                  <w:u w:val="single"/>
                  <w:lang w:val="en-US" w:eastAsia="zh-CN"/>
                </w:rPr>
                <w:t>ua</w:t>
              </w:r>
            </w:hyperlink>
          </w:p>
        </w:tc>
      </w:tr>
      <w:tr w:rsidR="00FE760B" w:rsidRPr="00FE760B" w:rsidTr="00C07F42">
        <w:tc>
          <w:tcPr>
            <w:tcW w:w="9070" w:type="dxa"/>
          </w:tcPr>
          <w:p w:rsidR="00FE760B" w:rsidRPr="00FE760B" w:rsidRDefault="00FE760B" w:rsidP="00FE760B">
            <w:pPr>
              <w:spacing w:after="0" w:line="240" w:lineRule="auto"/>
              <w:jc w:val="both"/>
              <w:rPr>
                <w:rFonts w:eastAsia="SimSun"/>
                <w:sz w:val="20"/>
                <w:szCs w:val="20"/>
                <w:lang w:eastAsia="zh-CN"/>
              </w:rPr>
            </w:pPr>
            <w:r w:rsidRPr="00FE760B">
              <w:rPr>
                <w:b/>
                <w:i/>
                <w:sz w:val="20"/>
                <w:szCs w:val="20"/>
              </w:rPr>
              <w:t xml:space="preserve">Степанюк Олена Вікторівна - </w:t>
            </w:r>
            <w:r w:rsidRPr="00FE760B">
              <w:rPr>
                <w:sz w:val="20"/>
                <w:szCs w:val="20"/>
              </w:rPr>
              <w:t xml:space="preserve">доктор філософії фізичної культури і спорту, старший викладач, </w:t>
            </w:r>
            <w:r w:rsidRPr="00FE760B">
              <w:rPr>
                <w:rFonts w:eastAsia="SimSun"/>
                <w:sz w:val="20"/>
                <w:szCs w:val="20"/>
                <w:lang w:eastAsia="zh-CN"/>
              </w:rPr>
              <w:t xml:space="preserve">Національний університет фізичного виховання і спорту України </w:t>
            </w:r>
          </w:p>
          <w:p w:rsidR="00FE760B" w:rsidRPr="00FE760B" w:rsidRDefault="003D6B4F" w:rsidP="00FE760B">
            <w:pPr>
              <w:spacing w:after="0" w:line="240" w:lineRule="auto"/>
              <w:jc w:val="both"/>
              <w:rPr>
                <w:rFonts w:eastAsia="SimSun"/>
                <w:sz w:val="20"/>
                <w:szCs w:val="20"/>
                <w:lang w:eastAsia="zh-CN"/>
              </w:rPr>
            </w:pPr>
            <w:hyperlink r:id="rId129" w:history="1">
              <w:r w:rsidR="00FE760B" w:rsidRPr="00FE760B">
                <w:rPr>
                  <w:rFonts w:eastAsia="SimSun"/>
                  <w:sz w:val="20"/>
                  <w:szCs w:val="20"/>
                  <w:u w:val="single"/>
                  <w:lang w:val="en-US" w:eastAsia="zh-CN"/>
                </w:rPr>
                <w:t>https</w:t>
              </w:r>
              <w:r w:rsidR="00FE760B" w:rsidRPr="00FE760B">
                <w:rPr>
                  <w:rFonts w:eastAsia="SimSun"/>
                  <w:sz w:val="20"/>
                  <w:szCs w:val="20"/>
                  <w:u w:val="single"/>
                  <w:lang w:eastAsia="zh-CN"/>
                </w:rPr>
                <w:t>://</w:t>
              </w:r>
              <w:r w:rsidR="00FE760B" w:rsidRPr="00FE760B">
                <w:rPr>
                  <w:rFonts w:eastAsia="SimSun"/>
                  <w:sz w:val="20"/>
                  <w:szCs w:val="20"/>
                  <w:u w:val="single"/>
                  <w:lang w:val="en-US" w:eastAsia="zh-CN"/>
                </w:rPr>
                <w:t>orcid</w:t>
              </w:r>
              <w:r w:rsidR="00FE760B" w:rsidRPr="00FE760B">
                <w:rPr>
                  <w:rFonts w:eastAsia="SimSun"/>
                  <w:sz w:val="20"/>
                  <w:szCs w:val="20"/>
                  <w:u w:val="single"/>
                  <w:lang w:eastAsia="zh-CN"/>
                </w:rPr>
                <w:t>.</w:t>
              </w:r>
              <w:r w:rsidR="00FE760B" w:rsidRPr="00FE760B">
                <w:rPr>
                  <w:rFonts w:eastAsia="SimSun"/>
                  <w:sz w:val="20"/>
                  <w:szCs w:val="20"/>
                  <w:u w:val="single"/>
                  <w:lang w:val="en-US" w:eastAsia="zh-CN"/>
                </w:rPr>
                <w:t>org</w:t>
              </w:r>
              <w:r w:rsidR="00FE760B" w:rsidRPr="00FE760B">
                <w:rPr>
                  <w:rFonts w:eastAsia="SimSun"/>
                  <w:sz w:val="20"/>
                  <w:szCs w:val="20"/>
                  <w:u w:val="single"/>
                  <w:lang w:eastAsia="zh-CN"/>
                </w:rPr>
                <w:t>/0000-0002-8657-5221</w:t>
              </w:r>
            </w:hyperlink>
          </w:p>
          <w:p w:rsidR="00FE760B" w:rsidRPr="00FE760B" w:rsidRDefault="00FE760B" w:rsidP="00FE760B">
            <w:pPr>
              <w:spacing w:after="0" w:line="240" w:lineRule="auto"/>
              <w:jc w:val="both"/>
              <w:rPr>
                <w:b/>
                <w:i/>
                <w:sz w:val="20"/>
                <w:szCs w:val="20"/>
              </w:rPr>
            </w:pPr>
            <w:r w:rsidRPr="00FE760B">
              <w:rPr>
                <w:sz w:val="20"/>
                <w:szCs w:val="20"/>
              </w:rPr>
              <w:t>e-mail: ostepaniuk@uni-sport.edu.ua</w:t>
            </w:r>
          </w:p>
        </w:tc>
      </w:tr>
    </w:tbl>
    <w:p w:rsidR="00FE760B" w:rsidRPr="00FE760B" w:rsidRDefault="00FE760B" w:rsidP="00FE760B">
      <w:pPr>
        <w:spacing w:after="0" w:line="240" w:lineRule="auto"/>
        <w:ind w:left="3544"/>
        <w:jc w:val="both"/>
        <w:rPr>
          <w:sz w:val="20"/>
          <w:szCs w:val="20"/>
          <w:lang w:eastAsia="uk-UA"/>
        </w:rPr>
      </w:pPr>
      <w:r w:rsidRPr="00FE760B">
        <w:rPr>
          <w:sz w:val="20"/>
          <w:szCs w:val="20"/>
          <w:lang w:eastAsia="uk-UA"/>
        </w:rPr>
        <w:t>Дата першого надходження статті до видання: 16.04.2026</w:t>
      </w:r>
    </w:p>
    <w:p w:rsidR="00FE760B" w:rsidRPr="00FE760B" w:rsidRDefault="00FE760B" w:rsidP="00FE760B">
      <w:pPr>
        <w:spacing w:after="0" w:line="240" w:lineRule="auto"/>
        <w:ind w:left="3544"/>
        <w:jc w:val="both"/>
        <w:rPr>
          <w:sz w:val="20"/>
          <w:szCs w:val="20"/>
          <w:lang w:eastAsia="uk-UA"/>
        </w:rPr>
      </w:pPr>
      <w:r w:rsidRPr="00FE760B">
        <w:rPr>
          <w:sz w:val="20"/>
          <w:szCs w:val="20"/>
          <w:lang w:eastAsia="uk-UA"/>
        </w:rPr>
        <w:t>Дата прийняття статті до друку після рецензування: 17.04.2026</w:t>
      </w:r>
    </w:p>
    <w:p w:rsidR="002923D6" w:rsidRDefault="00FE760B" w:rsidP="006D3BDB">
      <w:pPr>
        <w:spacing w:after="0" w:line="240" w:lineRule="auto"/>
        <w:ind w:left="3544"/>
        <w:jc w:val="both"/>
        <w:rPr>
          <w:sz w:val="20"/>
          <w:szCs w:val="20"/>
          <w:lang w:eastAsia="uk-UA"/>
        </w:rPr>
      </w:pPr>
      <w:r w:rsidRPr="00FE760B">
        <w:rPr>
          <w:sz w:val="20"/>
          <w:szCs w:val="20"/>
          <w:lang w:eastAsia="uk-UA"/>
        </w:rPr>
        <w:t>Дата публікації (оприлюднення) статті: 30.04.2026</w:t>
      </w:r>
      <w:r w:rsidR="002923D6">
        <w:rPr>
          <w:sz w:val="20"/>
          <w:szCs w:val="20"/>
          <w:lang w:eastAsia="uk-UA"/>
        </w:rPr>
        <w:br w:type="page"/>
      </w: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2923D6" w:rsidRPr="002923D6" w:rsidTr="00C07F42">
        <w:tc>
          <w:tcPr>
            <w:tcW w:w="3785" w:type="dxa"/>
          </w:tcPr>
          <w:p w:rsidR="002923D6" w:rsidRPr="002923D6" w:rsidRDefault="002923D6" w:rsidP="002923D6">
            <w:pPr>
              <w:spacing w:after="0" w:line="240" w:lineRule="auto"/>
              <w:rPr>
                <w:b/>
                <w:sz w:val="20"/>
                <w:szCs w:val="20"/>
              </w:rPr>
            </w:pPr>
            <w:bookmarkStart w:id="45" w:name="_Hlk224205686"/>
            <w:r w:rsidRPr="002923D6">
              <w:rPr>
                <w:b/>
                <w:sz w:val="20"/>
                <w:szCs w:val="20"/>
              </w:rPr>
              <w:lastRenderedPageBreak/>
              <w:t>УДК 796.015.6:797.2-057.875</w:t>
            </w:r>
          </w:p>
          <w:p w:rsidR="002923D6" w:rsidRPr="002923D6" w:rsidRDefault="002923D6" w:rsidP="002923D6">
            <w:pPr>
              <w:spacing w:after="0" w:line="240" w:lineRule="auto"/>
              <w:rPr>
                <w:b/>
                <w:sz w:val="20"/>
                <w:szCs w:val="20"/>
              </w:rPr>
            </w:pPr>
            <w:r w:rsidRPr="002923D6">
              <w:rPr>
                <w:b/>
                <w:sz w:val="20"/>
                <w:szCs w:val="20"/>
              </w:rPr>
              <w:t xml:space="preserve">doi: </w:t>
            </w:r>
            <w:r w:rsidRPr="002923D6">
              <w:rPr>
                <w:rFonts w:eastAsia="SimSun"/>
                <w:b/>
                <w:kern w:val="1"/>
                <w:sz w:val="20"/>
                <w:szCs w:val="20"/>
                <w:lang w:eastAsia="zh-CN" w:bidi="hi-IN"/>
              </w:rPr>
              <w:t>10.15330/fcult.46.39-46</w:t>
            </w:r>
          </w:p>
        </w:tc>
        <w:tc>
          <w:tcPr>
            <w:tcW w:w="5501" w:type="dxa"/>
          </w:tcPr>
          <w:p w:rsidR="002923D6" w:rsidRPr="002923D6" w:rsidRDefault="002923D6" w:rsidP="002923D6">
            <w:pPr>
              <w:spacing w:after="0" w:line="240" w:lineRule="auto"/>
              <w:jc w:val="right"/>
              <w:rPr>
                <w:b/>
                <w:i/>
                <w:sz w:val="20"/>
                <w:szCs w:val="20"/>
              </w:rPr>
            </w:pPr>
            <w:r w:rsidRPr="002923D6">
              <w:rPr>
                <w:b/>
                <w:bCs/>
                <w:i/>
                <w:iCs/>
                <w:sz w:val="20"/>
                <w:szCs w:val="20"/>
              </w:rPr>
              <w:t>Іванна Боднар, Тетяна Курчаба, Ярослав Тимчак</w:t>
            </w:r>
          </w:p>
        </w:tc>
      </w:tr>
    </w:tbl>
    <w:p w:rsidR="002923D6" w:rsidRPr="002923D6" w:rsidRDefault="002923D6" w:rsidP="002923D6">
      <w:pPr>
        <w:spacing w:after="0" w:line="240" w:lineRule="auto"/>
        <w:jc w:val="right"/>
        <w:rPr>
          <w:rFonts w:eastAsia="Calibri"/>
          <w:b/>
          <w:bCs/>
          <w:i/>
          <w:iCs/>
          <w:sz w:val="24"/>
          <w:szCs w:val="24"/>
        </w:rPr>
      </w:pPr>
    </w:p>
    <w:p w:rsidR="002923D6" w:rsidRPr="002923D6" w:rsidRDefault="002923D6" w:rsidP="002923D6">
      <w:pPr>
        <w:spacing w:after="0" w:line="240" w:lineRule="auto"/>
        <w:jc w:val="center"/>
        <w:rPr>
          <w:rFonts w:eastAsia="Calibri"/>
          <w:b/>
          <w:bCs/>
          <w:sz w:val="24"/>
          <w:szCs w:val="24"/>
        </w:rPr>
      </w:pPr>
      <w:r w:rsidRPr="002923D6">
        <w:rPr>
          <w:rFonts w:eastAsia="Calibri"/>
          <w:b/>
          <w:bCs/>
          <w:sz w:val="24"/>
          <w:szCs w:val="24"/>
        </w:rPr>
        <w:t xml:space="preserve">РЕКРЕАЦІЙНИЙ, ОЗДОРОВЧИЙ ТА ОСВІТНІЙ ЕФЕКТ ЗАНЯТЬ ПЛАВАННЯМ У СТУДЕНТОК СКЕРОВАНИХ ДО СПЕЦІАЛЬНОЇ МЕДИЧНОЇ ГРУПИ </w:t>
      </w:r>
    </w:p>
    <w:p w:rsidR="002923D6" w:rsidRPr="002923D6" w:rsidRDefault="002923D6" w:rsidP="002923D6">
      <w:pPr>
        <w:spacing w:after="0" w:line="240" w:lineRule="auto"/>
        <w:ind w:firstLine="709"/>
        <w:jc w:val="both"/>
        <w:rPr>
          <w:rFonts w:eastAsia="Calibri"/>
          <w:sz w:val="20"/>
          <w:szCs w:val="20"/>
        </w:rPr>
      </w:pPr>
      <w:r w:rsidRPr="007E02E6">
        <w:rPr>
          <w:b/>
          <w:sz w:val="20"/>
          <w:szCs w:val="20"/>
        </w:rPr>
        <w:t>Анотація</w:t>
      </w:r>
      <w:r w:rsidRPr="007E02E6">
        <w:rPr>
          <w:b/>
          <w:sz w:val="20"/>
          <w:szCs w:val="20"/>
          <w:lang w:val="ru-RU"/>
        </w:rPr>
        <w:t xml:space="preserve">. </w:t>
      </w:r>
      <w:r w:rsidRPr="002923D6">
        <w:rPr>
          <w:rFonts w:eastAsia="Calibri"/>
          <w:i/>
          <w:iCs/>
          <w:sz w:val="20"/>
          <w:szCs w:val="20"/>
        </w:rPr>
        <w:t>Мета</w:t>
      </w:r>
      <w:r w:rsidRPr="002923D6">
        <w:rPr>
          <w:rFonts w:eastAsia="Calibri"/>
          <w:sz w:val="20"/>
          <w:szCs w:val="20"/>
        </w:rPr>
        <w:t xml:space="preserve"> – з’ясувати вплив регулярних занять плаванням на фізичний, психоемоційний та когнітивний стан студенток спеціальної медичної групи. </w:t>
      </w:r>
      <w:r w:rsidRPr="002923D6">
        <w:rPr>
          <w:rFonts w:eastAsia="Calibri"/>
          <w:i/>
          <w:sz w:val="20"/>
          <w:szCs w:val="20"/>
        </w:rPr>
        <w:t>Методи дослідження</w:t>
      </w:r>
      <w:r w:rsidRPr="002923D6">
        <w:rPr>
          <w:rFonts w:eastAsia="Calibri"/>
          <w:sz w:val="20"/>
          <w:szCs w:val="20"/>
        </w:rPr>
        <w:t xml:space="preserve">: аналіз і узагальнення науково-методичної літератури, педагогічне спостереження, педагогічний експеримент, анкетування, біомедичні методи, методи математичної статистики. </w:t>
      </w:r>
      <w:r w:rsidRPr="002923D6">
        <w:rPr>
          <w:rFonts w:eastAsia="Calibri"/>
          <w:i/>
          <w:sz w:val="20"/>
          <w:szCs w:val="20"/>
        </w:rPr>
        <w:t>Результати</w:t>
      </w:r>
      <w:r w:rsidRPr="002923D6">
        <w:rPr>
          <w:rFonts w:eastAsia="Calibri"/>
          <w:sz w:val="20"/>
          <w:szCs w:val="20"/>
        </w:rPr>
        <w:t xml:space="preserve">. Встановлено, що регулярні заняття плаванням сприяють покращенню функціонального стану серцево-судинної системи студенток, що підтверджується достовірним зниженням індексу Руф’є; покращенню психоемоційного стану студенток; підвищенню когнітивної працездатності (зростання швидкості переробки інформації, концентрації та стійкості уваги, зменшення кількості помилок та підвищення розумової працездатності). </w:t>
      </w:r>
      <w:r w:rsidRPr="002923D6">
        <w:rPr>
          <w:rFonts w:eastAsia="Calibri"/>
          <w:i/>
          <w:iCs/>
          <w:sz w:val="20"/>
          <w:szCs w:val="20"/>
        </w:rPr>
        <w:t>Висновки</w:t>
      </w:r>
      <w:r w:rsidRPr="002923D6">
        <w:rPr>
          <w:rFonts w:eastAsia="Calibri"/>
          <w:sz w:val="20"/>
          <w:szCs w:val="20"/>
        </w:rPr>
        <w:t xml:space="preserve">. Дані підтверджують, що рекреаційне плавання може ефективно використовуватися для покращення когнітивної працездатності, концентрації уваги та психоемоційного стану студентів. Отримані ефекти є статистично та практично значущими, особливо у показниках активності та бадьорості, що є ключовими для успішної навчальної та рекреаційної діяльності студентів. </w:t>
      </w:r>
    </w:p>
    <w:p w:rsidR="002923D6" w:rsidRPr="002923D6" w:rsidRDefault="002923D6" w:rsidP="002923D6">
      <w:pPr>
        <w:spacing w:after="0" w:line="240" w:lineRule="auto"/>
        <w:ind w:firstLine="709"/>
        <w:jc w:val="both"/>
        <w:rPr>
          <w:rFonts w:eastAsia="Calibri"/>
          <w:sz w:val="20"/>
          <w:szCs w:val="20"/>
        </w:rPr>
      </w:pPr>
      <w:r w:rsidRPr="002923D6">
        <w:rPr>
          <w:rFonts w:eastAsia="Calibri"/>
          <w:b/>
          <w:bCs/>
          <w:sz w:val="20"/>
          <w:szCs w:val="20"/>
        </w:rPr>
        <w:t>Ключові слова</w:t>
      </w:r>
      <w:r w:rsidRPr="002923D6">
        <w:rPr>
          <w:rFonts w:eastAsia="Calibri"/>
          <w:sz w:val="20"/>
          <w:szCs w:val="20"/>
        </w:rPr>
        <w:t xml:space="preserve">: плавання, рекреаційне плавання, студенти, спеціальна медична група, фізична активність, когнітивна працездатність, увага, психоемоційний стан, індекс Руф’є, оздоровчий ефект </w:t>
      </w:r>
    </w:p>
    <w:p w:rsidR="002923D6" w:rsidRPr="002923D6" w:rsidRDefault="002923D6" w:rsidP="002923D6">
      <w:pPr>
        <w:spacing w:after="0" w:line="240" w:lineRule="auto"/>
        <w:ind w:firstLine="709"/>
        <w:jc w:val="center"/>
        <w:rPr>
          <w:rFonts w:eastAsia="Calibri"/>
          <w:sz w:val="20"/>
          <w:szCs w:val="20"/>
        </w:rPr>
      </w:pPr>
    </w:p>
    <w:p w:rsidR="002923D6" w:rsidRPr="002923D6" w:rsidRDefault="002923D6" w:rsidP="002923D6">
      <w:pPr>
        <w:spacing w:after="0" w:line="240" w:lineRule="auto"/>
        <w:ind w:firstLine="709"/>
        <w:jc w:val="both"/>
        <w:rPr>
          <w:rFonts w:eastAsia="Calibri"/>
          <w:sz w:val="20"/>
          <w:szCs w:val="20"/>
          <w:lang w:val="en-GB"/>
        </w:rPr>
      </w:pPr>
      <w:r w:rsidRPr="00425CF6">
        <w:rPr>
          <w:b/>
          <w:sz w:val="20"/>
          <w:szCs w:val="20"/>
        </w:rPr>
        <w:t>Summary</w:t>
      </w:r>
      <w:r w:rsidRPr="00425CF6">
        <w:rPr>
          <w:sz w:val="20"/>
          <w:szCs w:val="20"/>
        </w:rPr>
        <w:t>.</w:t>
      </w:r>
      <w:r>
        <w:rPr>
          <w:sz w:val="20"/>
          <w:szCs w:val="20"/>
        </w:rPr>
        <w:t xml:space="preserve"> </w:t>
      </w:r>
      <w:r w:rsidRPr="002923D6">
        <w:rPr>
          <w:rFonts w:eastAsia="Calibri"/>
          <w:i/>
          <w:iCs/>
          <w:sz w:val="20"/>
          <w:szCs w:val="20"/>
          <w:lang w:val="en-GB"/>
        </w:rPr>
        <w:t>Objective</w:t>
      </w:r>
      <w:r w:rsidRPr="002923D6">
        <w:rPr>
          <w:rFonts w:eastAsia="Calibri"/>
          <w:sz w:val="20"/>
          <w:szCs w:val="20"/>
          <w:lang w:val="en-GB"/>
        </w:rPr>
        <w:t xml:space="preserve">. To determine the impact of regular swimming classes on the physical, psycho-emotional, and cognitive state of female students assigned to a special medical group. </w:t>
      </w:r>
      <w:r w:rsidRPr="002923D6">
        <w:rPr>
          <w:rFonts w:eastAsia="Calibri"/>
          <w:i/>
          <w:iCs/>
          <w:sz w:val="20"/>
          <w:szCs w:val="20"/>
          <w:lang w:val="en-GB"/>
        </w:rPr>
        <w:t>Methods and Organization</w:t>
      </w:r>
      <w:r w:rsidRPr="002923D6">
        <w:rPr>
          <w:rFonts w:eastAsia="Calibri"/>
          <w:sz w:val="20"/>
          <w:szCs w:val="20"/>
          <w:lang w:val="en-GB"/>
        </w:rPr>
        <w:t xml:space="preserve">. To achieve the objective, a set of complementary research methods was used: content analysis of scientific literature, pedagogical observation, pedagogical experiment, questionnaires, biomedical methods (Ruffier test), and statistical methods. The set of research indicators included three interrelated blocks: functional state of the body, subjective assessment of well-being and psycho-emotional state, and indicators of cognitive performance. Such an approach made it possible to comprehensively assess the recreational, health-improving, and educational effects of swimming classes among students of a special medical group. </w:t>
      </w:r>
      <w:r w:rsidRPr="002923D6">
        <w:rPr>
          <w:rFonts w:eastAsia="Calibri"/>
          <w:i/>
          <w:sz w:val="20"/>
          <w:szCs w:val="20"/>
          <w:lang w:val="en-US"/>
        </w:rPr>
        <w:t>Results</w:t>
      </w:r>
      <w:r w:rsidRPr="002923D6">
        <w:rPr>
          <w:rFonts w:eastAsia="Calibri"/>
          <w:sz w:val="20"/>
          <w:szCs w:val="20"/>
          <w:lang w:val="en-US"/>
        </w:rPr>
        <w:t xml:space="preserve">. </w:t>
      </w:r>
      <w:r w:rsidRPr="002923D6">
        <w:rPr>
          <w:rFonts w:eastAsia="Calibri"/>
          <w:sz w:val="20"/>
          <w:szCs w:val="20"/>
          <w:lang w:val="en-GB"/>
        </w:rPr>
        <w:t xml:space="preserve">It was established that regular swimming contributes to the improvement of the functional state of the cardiovascular system in female students, which is confirmed by a significant decrease in the Ruffier index. A positive recreational effect of swimming classes was also revealed, manifested in improved well-being, reduced fatigue, and an improved psycho-emotional state of the students. It has been proven that systematic swimming classes contribute to increased cognitive performance, which is manifested in a higher speed of information processing, as well as improved concentration and stability of attention. A decrease in the number of errors and an increase in the mental performance of female students in the experimental group were observed, indicating a positive educational effect of swimming classes. Improved concentration of attention may positively influence the effectiveness of students’ learning activities. The trends identified in our study are consistent with international and Ukrainian research results showing that swimming increases activity, vigor, and mood, and promotes recovery of the psychophysical state. </w:t>
      </w:r>
      <w:r w:rsidRPr="002923D6">
        <w:rPr>
          <w:rFonts w:eastAsia="Calibri"/>
          <w:i/>
          <w:iCs/>
          <w:sz w:val="20"/>
          <w:szCs w:val="20"/>
          <w:lang w:val="en-GB"/>
        </w:rPr>
        <w:t>Conclusions</w:t>
      </w:r>
      <w:r w:rsidRPr="002923D6">
        <w:rPr>
          <w:rFonts w:eastAsia="Calibri"/>
          <w:sz w:val="20"/>
          <w:szCs w:val="20"/>
          <w:lang w:val="en-GB"/>
        </w:rPr>
        <w:t>. The findings confirm that recreational swimming can be effectively used to improve cognitive performance, attention concentration, and the psycho-emotional state of students. The obtained effects are statistically and practically significant, particularly in indicators of activity and vigor, which are key for successful academic and recreational activities of students.</w:t>
      </w:r>
    </w:p>
    <w:p w:rsidR="002923D6" w:rsidRPr="002923D6" w:rsidRDefault="002923D6" w:rsidP="002923D6">
      <w:pPr>
        <w:spacing w:after="0" w:line="240" w:lineRule="auto"/>
        <w:ind w:firstLine="720"/>
        <w:jc w:val="both"/>
        <w:outlineLvl w:val="0"/>
        <w:rPr>
          <w:sz w:val="20"/>
          <w:szCs w:val="20"/>
          <w:lang w:val="en-GB"/>
        </w:rPr>
      </w:pPr>
      <w:r w:rsidRPr="002923D6">
        <w:rPr>
          <w:b/>
          <w:bCs/>
          <w:sz w:val="20"/>
          <w:szCs w:val="20"/>
          <w:lang w:val="en-GB"/>
        </w:rPr>
        <w:t>Keywords</w:t>
      </w:r>
      <w:r w:rsidRPr="002923D6">
        <w:rPr>
          <w:sz w:val="20"/>
          <w:szCs w:val="20"/>
          <w:lang w:val="en-GB"/>
        </w:rPr>
        <w:t>: swimming, recreational swimming, female students, special medical group, physical activity, cognitive performance, attention, psycho-emotional state, Ruffier index, health effect</w:t>
      </w:r>
    </w:p>
    <w:p w:rsidR="002923D6" w:rsidRPr="002923D6" w:rsidRDefault="002923D6" w:rsidP="002923D6">
      <w:pPr>
        <w:spacing w:after="160" w:line="240" w:lineRule="auto"/>
        <w:rPr>
          <w:rFonts w:eastAsia="Calibri"/>
          <w:sz w:val="24"/>
          <w:szCs w:val="24"/>
        </w:rPr>
      </w:pPr>
    </w:p>
    <w:p w:rsidR="002923D6" w:rsidRPr="002923D6" w:rsidRDefault="002923D6" w:rsidP="002923D6">
      <w:pPr>
        <w:spacing w:after="0" w:line="240" w:lineRule="auto"/>
        <w:ind w:firstLine="720"/>
        <w:jc w:val="both"/>
        <w:outlineLvl w:val="0"/>
        <w:rPr>
          <w:sz w:val="24"/>
          <w:szCs w:val="24"/>
        </w:rPr>
      </w:pPr>
      <w:r w:rsidRPr="002923D6">
        <w:rPr>
          <w:b/>
          <w:sz w:val="24"/>
          <w:szCs w:val="24"/>
        </w:rPr>
        <w:t xml:space="preserve">Постановка проблеми й аналіз результатів останніх досліджень. </w:t>
      </w:r>
      <w:r w:rsidRPr="002923D6">
        <w:rPr>
          <w:sz w:val="24"/>
          <w:szCs w:val="24"/>
        </w:rPr>
        <w:t xml:space="preserve">Попри численні дані про позитивний вплив фізичної активності на здоров’я та когнітивні функції, зокрема на функціональний стан серцево-судинної та дихальної систем, у спеціальній літературі бракує системних досліджень, що оцінюють вплив регулярних занять плаванням на фізичний, психоемоційний та когнітивний стан студентів у контексті оздоровчих, рекреаційних та освітніх ефектів. </w:t>
      </w:r>
    </w:p>
    <w:p w:rsidR="0004467E" w:rsidRDefault="0004467E" w:rsidP="002923D6">
      <w:pPr>
        <w:framePr w:w="9481" w:h="653" w:hRule="exact" w:wrap="auto" w:vAnchor="page" w:hAnchor="page" w:x="1464" w:y="15609"/>
        <w:spacing w:after="160" w:line="259" w:lineRule="auto"/>
        <w:ind w:right="-1"/>
        <w:rPr>
          <w:rFonts w:eastAsia="Calibri"/>
          <w:sz w:val="20"/>
          <w:szCs w:val="20"/>
        </w:rPr>
      </w:pPr>
    </w:p>
    <w:p w:rsidR="002923D6" w:rsidRPr="002923D6" w:rsidRDefault="002923D6" w:rsidP="002923D6">
      <w:pPr>
        <w:framePr w:w="9481" w:h="653" w:hRule="exact" w:wrap="auto" w:vAnchor="page" w:hAnchor="page" w:x="1464" w:y="15609"/>
        <w:spacing w:after="160" w:line="259" w:lineRule="auto"/>
        <w:ind w:right="-1"/>
        <w:rPr>
          <w:rFonts w:eastAsia="Calibri"/>
          <w:sz w:val="20"/>
          <w:szCs w:val="20"/>
        </w:rPr>
      </w:pPr>
      <w:r w:rsidRPr="002923D6">
        <w:rPr>
          <w:rFonts w:eastAsia="Calibri"/>
          <w:sz w:val="20"/>
          <w:szCs w:val="20"/>
        </w:rPr>
        <w:t>©</w:t>
      </w:r>
      <w:r w:rsidRPr="002923D6">
        <w:rPr>
          <w:rFonts w:eastAsia="Calibri"/>
          <w:spacing w:val="33"/>
          <w:sz w:val="20"/>
          <w:szCs w:val="20"/>
        </w:rPr>
        <w:t xml:space="preserve"> </w:t>
      </w:r>
      <w:r w:rsidRPr="002923D6">
        <w:rPr>
          <w:rFonts w:eastAsia="Calibri"/>
          <w:bCs/>
          <w:sz w:val="20"/>
          <w:szCs w:val="20"/>
        </w:rPr>
        <w:t>Боднар І., Курчаба Т., Тимчак Я.,</w:t>
      </w:r>
      <w:r w:rsidRPr="002923D6">
        <w:rPr>
          <w:rFonts w:eastAsia="Calibri"/>
          <w:spacing w:val="1"/>
          <w:sz w:val="20"/>
          <w:szCs w:val="20"/>
        </w:rPr>
        <w:t xml:space="preserve"> 2026</w:t>
      </w:r>
      <w:r w:rsidRPr="002923D6">
        <w:rPr>
          <w:rFonts w:eastAsia="Calibri"/>
          <w:spacing w:val="1"/>
          <w:sz w:val="20"/>
          <w:szCs w:val="20"/>
        </w:rPr>
        <w:tab/>
      </w:r>
      <w:r w:rsidRPr="002923D6">
        <w:rPr>
          <w:rFonts w:eastAsia="Calibri"/>
          <w:spacing w:val="1"/>
          <w:sz w:val="20"/>
          <w:szCs w:val="20"/>
        </w:rPr>
        <w:tab/>
      </w:r>
      <w:r w:rsidRPr="002923D6">
        <w:rPr>
          <w:rFonts w:eastAsia="Calibri"/>
          <w:spacing w:val="1"/>
          <w:sz w:val="20"/>
          <w:szCs w:val="20"/>
        </w:rPr>
        <w:tab/>
        <w:t>Увесь контент ліцензовано за умовами СС BY 4.0</w:t>
      </w:r>
    </w:p>
    <w:p w:rsidR="002923D6" w:rsidRPr="002923D6" w:rsidRDefault="002923D6" w:rsidP="002923D6">
      <w:pPr>
        <w:spacing w:after="0" w:line="240" w:lineRule="auto"/>
        <w:ind w:firstLine="720"/>
        <w:jc w:val="both"/>
        <w:outlineLvl w:val="0"/>
        <w:rPr>
          <w:sz w:val="24"/>
          <w:szCs w:val="24"/>
        </w:rPr>
      </w:pPr>
      <w:r w:rsidRPr="002923D6">
        <w:rPr>
          <w:sz w:val="24"/>
          <w:szCs w:val="24"/>
        </w:rPr>
        <w:t xml:space="preserve">Актуальність цього дослідження підтверджується результатами останніх робіт, які демонструють, що заняття плаванням можуть сприяти покращенню психічного здоров’я, концентрації та когнітивної функції молодих дорослих і студентів (наприклад, покращення концентрації та якості сну пов’язане зі структурованими заняттями плаванням у студентів фізичного виховання) [1], а також що заняття у </w:t>
      </w:r>
      <w:r w:rsidRPr="002923D6">
        <w:rPr>
          <w:sz w:val="24"/>
          <w:szCs w:val="24"/>
        </w:rPr>
        <w:lastRenderedPageBreak/>
        <w:t>водному середовищі значно поліпшують когнітивні параметри, психоемоційний стан і фізичну функцію в різних популяціях, включаючи молодь і підлітків [2].</w:t>
      </w:r>
    </w:p>
    <w:p w:rsidR="002923D6" w:rsidRPr="002923D6" w:rsidRDefault="002923D6" w:rsidP="002923D6">
      <w:pPr>
        <w:spacing w:after="0" w:line="240" w:lineRule="auto"/>
        <w:ind w:firstLine="720"/>
        <w:jc w:val="both"/>
        <w:outlineLvl w:val="0"/>
        <w:rPr>
          <w:bCs/>
          <w:sz w:val="24"/>
          <w:szCs w:val="24"/>
        </w:rPr>
      </w:pPr>
      <w:r w:rsidRPr="002923D6">
        <w:rPr>
          <w:b/>
          <w:bCs/>
          <w:sz w:val="24"/>
          <w:szCs w:val="24"/>
        </w:rPr>
        <w:t xml:space="preserve">Мета – </w:t>
      </w:r>
      <w:r w:rsidRPr="002923D6">
        <w:rPr>
          <w:sz w:val="24"/>
          <w:szCs w:val="24"/>
        </w:rPr>
        <w:t>з’ясувати вплив</w:t>
      </w:r>
      <w:r w:rsidRPr="002923D6">
        <w:rPr>
          <w:b/>
          <w:bCs/>
          <w:sz w:val="24"/>
          <w:szCs w:val="24"/>
        </w:rPr>
        <w:t xml:space="preserve"> </w:t>
      </w:r>
      <w:r w:rsidRPr="002923D6">
        <w:rPr>
          <w:sz w:val="24"/>
          <w:szCs w:val="24"/>
        </w:rPr>
        <w:t>регулярних занять плаванням на фізичний, психоемоційний та когнітивний стан студенток спеціальної медичної групи.</w:t>
      </w:r>
    </w:p>
    <w:p w:rsidR="002923D6" w:rsidRPr="002923D6" w:rsidRDefault="002923D6" w:rsidP="002923D6">
      <w:pPr>
        <w:spacing w:after="0" w:line="240" w:lineRule="auto"/>
        <w:ind w:firstLine="720"/>
        <w:jc w:val="both"/>
        <w:outlineLvl w:val="0"/>
        <w:rPr>
          <w:b/>
          <w:bCs/>
          <w:sz w:val="24"/>
          <w:szCs w:val="24"/>
        </w:rPr>
      </w:pPr>
      <w:r w:rsidRPr="002923D6">
        <w:rPr>
          <w:b/>
          <w:bCs/>
          <w:sz w:val="24"/>
          <w:szCs w:val="24"/>
        </w:rPr>
        <w:t xml:space="preserve">Методи та організація дослідження. </w:t>
      </w:r>
      <w:r w:rsidRPr="002923D6">
        <w:rPr>
          <w:sz w:val="24"/>
          <w:szCs w:val="24"/>
        </w:rPr>
        <w:t xml:space="preserve">Для досягнення поставленої мети використано комплекс взаємодоповнювальних </w:t>
      </w:r>
      <w:r w:rsidRPr="002923D6">
        <w:rPr>
          <w:bCs/>
          <w:i/>
          <w:sz w:val="24"/>
          <w:szCs w:val="24"/>
        </w:rPr>
        <w:t>методів</w:t>
      </w:r>
      <w:r w:rsidRPr="002923D6">
        <w:rPr>
          <w:i/>
          <w:sz w:val="24"/>
          <w:szCs w:val="24"/>
        </w:rPr>
        <w:t xml:space="preserve"> дослідження</w:t>
      </w:r>
      <w:r w:rsidRPr="002923D6">
        <w:rPr>
          <w:sz w:val="24"/>
          <w:szCs w:val="24"/>
        </w:rPr>
        <w:t xml:space="preserve">: аналіз і узагальнення науково-методичної літератури, педагогічне спостереження, педагогічний експеримент (ПЕ), анкетування, біомедичні методи (проба Руф’є), а також методи математичної статистики. Комплекс показників дослідження включав три взаємопов’язані блоки: функціональний стан організму (проба Руф’є), суб’єктивну оцінку </w:t>
      </w:r>
      <w:bookmarkStart w:id="46" w:name="_Hlk224206852"/>
      <w:r w:rsidRPr="002923D6">
        <w:rPr>
          <w:sz w:val="24"/>
          <w:szCs w:val="24"/>
        </w:rPr>
        <w:t xml:space="preserve">самопочуття та психоемоційного стану (анкетування) і показники когнітивної працездатності </w:t>
      </w:r>
      <w:bookmarkEnd w:id="46"/>
      <w:r w:rsidRPr="002923D6">
        <w:rPr>
          <w:sz w:val="24"/>
          <w:szCs w:val="24"/>
        </w:rPr>
        <w:t>(коректурна проба). Такий підхід дозволив комплексно оцінити рекреаційний, оздоровчий та освітній ефект занять плаванням у студентів спеціальної медичної групи.</w:t>
      </w:r>
    </w:p>
    <w:p w:rsidR="002923D6" w:rsidRPr="002923D6" w:rsidRDefault="002923D6" w:rsidP="002923D6">
      <w:pPr>
        <w:spacing w:after="0" w:line="240" w:lineRule="auto"/>
        <w:ind w:firstLine="720"/>
        <w:jc w:val="both"/>
        <w:rPr>
          <w:sz w:val="24"/>
          <w:szCs w:val="24"/>
        </w:rPr>
      </w:pPr>
      <w:r w:rsidRPr="002923D6">
        <w:rPr>
          <w:sz w:val="24"/>
          <w:szCs w:val="24"/>
        </w:rPr>
        <w:t xml:space="preserve">Фізичну працездатність серцево-судинної системи студенток оцінювали за допомогою </w:t>
      </w:r>
      <w:r w:rsidRPr="002923D6">
        <w:rPr>
          <w:iCs/>
          <w:sz w:val="24"/>
          <w:szCs w:val="24"/>
        </w:rPr>
        <w:t>проби Руф’є</w:t>
      </w:r>
      <w:r w:rsidRPr="002923D6">
        <w:rPr>
          <w:sz w:val="24"/>
          <w:szCs w:val="24"/>
        </w:rPr>
        <w:t xml:space="preserve">. </w:t>
      </w:r>
    </w:p>
    <w:p w:rsidR="002923D6" w:rsidRPr="002923D6" w:rsidRDefault="002923D6" w:rsidP="002923D6">
      <w:pPr>
        <w:spacing w:after="0" w:line="240" w:lineRule="auto"/>
        <w:ind w:firstLine="720"/>
        <w:jc w:val="both"/>
        <w:outlineLvl w:val="2"/>
        <w:rPr>
          <w:bCs/>
          <w:sz w:val="24"/>
          <w:szCs w:val="24"/>
        </w:rPr>
      </w:pPr>
      <w:r w:rsidRPr="002923D6">
        <w:rPr>
          <w:sz w:val="24"/>
          <w:szCs w:val="24"/>
        </w:rPr>
        <w:t xml:space="preserve">З метою оцінювання рекреаційного ефекту занять плаванням було проведено </w:t>
      </w:r>
      <w:r w:rsidRPr="002923D6">
        <w:rPr>
          <w:iCs/>
          <w:sz w:val="24"/>
          <w:szCs w:val="24"/>
        </w:rPr>
        <w:t>анкетування за авторськими опитувальниками</w:t>
      </w:r>
      <w:r w:rsidRPr="002923D6">
        <w:rPr>
          <w:sz w:val="24"/>
          <w:szCs w:val="24"/>
        </w:rPr>
        <w:t>, спрямоване на визначення суб’єктивного самопочуття, рівня втомленості та психоемоційного стану студентів. Відповіді оцінювали за</w:t>
      </w:r>
      <w:r w:rsidRPr="002923D6">
        <w:rPr>
          <w:bCs/>
          <w:sz w:val="24"/>
          <w:szCs w:val="24"/>
        </w:rPr>
        <w:t xml:space="preserve"> </w:t>
      </w:r>
      <w:r w:rsidRPr="002923D6">
        <w:rPr>
          <w:sz w:val="24"/>
          <w:szCs w:val="24"/>
        </w:rPr>
        <w:t>п’ятибальною шкалою.</w:t>
      </w:r>
    </w:p>
    <w:p w:rsidR="002923D6" w:rsidRPr="002923D6" w:rsidRDefault="002923D6" w:rsidP="002923D6">
      <w:pPr>
        <w:spacing w:after="0" w:line="240" w:lineRule="auto"/>
        <w:ind w:firstLine="720"/>
        <w:jc w:val="both"/>
        <w:rPr>
          <w:sz w:val="24"/>
          <w:szCs w:val="24"/>
        </w:rPr>
      </w:pPr>
      <w:r w:rsidRPr="002923D6">
        <w:rPr>
          <w:sz w:val="24"/>
          <w:szCs w:val="24"/>
        </w:rPr>
        <w:t xml:space="preserve">Рівень </w:t>
      </w:r>
      <w:r w:rsidRPr="002923D6">
        <w:rPr>
          <w:iCs/>
          <w:sz w:val="24"/>
          <w:szCs w:val="24"/>
        </w:rPr>
        <w:t>фізичної активності</w:t>
      </w:r>
      <w:r w:rsidRPr="002923D6">
        <w:rPr>
          <w:sz w:val="24"/>
          <w:szCs w:val="24"/>
        </w:rPr>
        <w:t xml:space="preserve"> студенток також визначали за допомогою самооцінювання частоти та тривалості рухової активності протягом тижня. Студенти відповідали на такі запитання (Скільки разів на тиждень ви займаєтесь будь-якою фізичною активністю (крім навчальних занять)? Яка середня тривалість ваших фізичних навантажень? Як ви оцінюєте інтенсивність своєї фізичної активності? Чи змінилася ваша загальна рухова активність після початку занять плаванням?) і обчислювали середнє арифметичне.</w:t>
      </w:r>
    </w:p>
    <w:p w:rsidR="002923D6" w:rsidRPr="002923D6" w:rsidRDefault="002923D6" w:rsidP="002923D6">
      <w:pPr>
        <w:spacing w:after="0" w:line="240" w:lineRule="auto"/>
        <w:ind w:firstLine="720"/>
        <w:jc w:val="both"/>
        <w:rPr>
          <w:sz w:val="24"/>
          <w:szCs w:val="24"/>
        </w:rPr>
      </w:pPr>
      <w:r w:rsidRPr="002923D6">
        <w:rPr>
          <w:sz w:val="24"/>
          <w:szCs w:val="24"/>
        </w:rPr>
        <w:t xml:space="preserve">Для оброблення отриманих результатів використовували </w:t>
      </w:r>
      <w:r w:rsidRPr="002923D6">
        <w:rPr>
          <w:i/>
          <w:iCs/>
          <w:sz w:val="24"/>
          <w:szCs w:val="24"/>
        </w:rPr>
        <w:t>методи математичної статистики</w:t>
      </w:r>
      <w:r w:rsidRPr="002923D6">
        <w:rPr>
          <w:sz w:val="24"/>
          <w:szCs w:val="24"/>
        </w:rPr>
        <w:t xml:space="preserve">: обчислення середніх значень показників, стандартного відхилення та визначення достовірності відмінностей між показниками (середнє арифметичне – </w:t>
      </w:r>
      <w:r w:rsidRPr="002923D6">
        <w:rPr>
          <w:rFonts w:eastAsia="Calibri"/>
          <w:sz w:val="24"/>
          <w:szCs w:val="24"/>
        </w:rPr>
        <w:t xml:space="preserve">M і стандартне відхилення </w:t>
      </w:r>
      <w:r w:rsidRPr="002923D6">
        <w:rPr>
          <w:rFonts w:eastAsia="Calibri"/>
          <w:sz w:val="24"/>
          <w:szCs w:val="24"/>
          <w:lang w:val="ru-RU"/>
        </w:rPr>
        <w:t>–</w:t>
      </w:r>
      <w:r w:rsidRPr="002923D6">
        <w:rPr>
          <w:rFonts w:eastAsia="Calibri"/>
          <w:sz w:val="24"/>
          <w:szCs w:val="24"/>
        </w:rPr>
        <w:t xml:space="preserve"> ±SD; </w:t>
      </w:r>
      <w:r w:rsidRPr="002923D6">
        <w:rPr>
          <w:rFonts w:eastAsia="Calibri"/>
          <w:sz w:val="24"/>
          <w:szCs w:val="24"/>
          <w:lang w:val="en-US"/>
        </w:rPr>
        <w:t>t</w:t>
      </w:r>
      <w:r w:rsidRPr="002923D6">
        <w:rPr>
          <w:rFonts w:eastAsia="Calibri"/>
          <w:sz w:val="24"/>
          <w:szCs w:val="24"/>
        </w:rPr>
        <w:t>-критерій Стьюдента для зв’язаних вибірок</w:t>
      </w:r>
      <w:r w:rsidRPr="002923D6">
        <w:rPr>
          <w:sz w:val="24"/>
          <w:szCs w:val="24"/>
        </w:rPr>
        <w:t>).</w:t>
      </w:r>
    </w:p>
    <w:p w:rsidR="002923D6" w:rsidRPr="002923D6" w:rsidRDefault="002923D6" w:rsidP="002923D6">
      <w:pPr>
        <w:spacing w:after="0" w:line="240" w:lineRule="auto"/>
        <w:ind w:firstLine="720"/>
        <w:jc w:val="both"/>
        <w:outlineLvl w:val="1"/>
        <w:rPr>
          <w:sz w:val="24"/>
          <w:szCs w:val="24"/>
        </w:rPr>
      </w:pPr>
      <w:r w:rsidRPr="002923D6">
        <w:rPr>
          <w:bCs/>
          <w:i/>
          <w:sz w:val="24"/>
          <w:szCs w:val="24"/>
        </w:rPr>
        <w:t>Організація дослідження</w:t>
      </w:r>
      <w:r w:rsidRPr="002923D6">
        <w:rPr>
          <w:bCs/>
          <w:i/>
          <w:sz w:val="24"/>
          <w:szCs w:val="24"/>
          <w:lang w:val="ru-RU"/>
        </w:rPr>
        <w:t xml:space="preserve">. </w:t>
      </w:r>
      <w:r w:rsidRPr="002923D6">
        <w:rPr>
          <w:sz w:val="24"/>
          <w:szCs w:val="24"/>
        </w:rPr>
        <w:t>Дослідження проводилося на базі закладу вищої освіти серед студентів спеціальної медичної групи, які за станом здоров’я були допущені до занять плаванням. У дослідженні брали участь студентки віком 17–20 років. Заняття плаванням проводилися у рамках навчальної дисципліни «Фізичне виховання» у басейні університету.</w:t>
      </w:r>
    </w:p>
    <w:p w:rsidR="002923D6" w:rsidRPr="002923D6" w:rsidRDefault="002923D6" w:rsidP="002923D6">
      <w:pPr>
        <w:spacing w:after="0" w:line="240" w:lineRule="auto"/>
        <w:ind w:firstLine="720"/>
        <w:jc w:val="both"/>
        <w:rPr>
          <w:sz w:val="24"/>
          <w:szCs w:val="24"/>
        </w:rPr>
      </w:pPr>
      <w:r w:rsidRPr="002923D6">
        <w:rPr>
          <w:sz w:val="24"/>
          <w:szCs w:val="24"/>
        </w:rPr>
        <w:t>Програма занять передбачала регулярні заняття плаванням, спрямовані на розвиток рухових навичок, покращення функціонального стану організму та підвищення загальної фізичної активності студентів.</w:t>
      </w:r>
    </w:p>
    <w:p w:rsidR="002923D6" w:rsidRPr="002923D6" w:rsidRDefault="002923D6" w:rsidP="002923D6">
      <w:pPr>
        <w:spacing w:after="0" w:line="240" w:lineRule="auto"/>
        <w:ind w:firstLine="720"/>
        <w:jc w:val="both"/>
        <w:rPr>
          <w:sz w:val="24"/>
          <w:szCs w:val="24"/>
        </w:rPr>
      </w:pPr>
      <w:r w:rsidRPr="002923D6">
        <w:rPr>
          <w:sz w:val="24"/>
          <w:szCs w:val="24"/>
        </w:rPr>
        <w:t>Педагогічний експеримент тривав протягом навчального семестру. На початку та наприкінці дослідження проводили оцінювання показників рекреаційного, оздоровчого та освітнього ефектів занять плаванням у студентів спеціальної медичної групи.</w:t>
      </w:r>
    </w:p>
    <w:p w:rsidR="002923D6" w:rsidRPr="002923D6" w:rsidRDefault="002923D6" w:rsidP="002923D6">
      <w:pPr>
        <w:spacing w:after="0" w:line="240" w:lineRule="auto"/>
        <w:ind w:firstLine="720"/>
        <w:jc w:val="both"/>
        <w:rPr>
          <w:rFonts w:eastAsia="Calibri"/>
          <w:sz w:val="24"/>
          <w:szCs w:val="24"/>
        </w:rPr>
      </w:pPr>
      <w:r w:rsidRPr="002923D6">
        <w:rPr>
          <w:rFonts w:eastAsia="Calibri"/>
          <w:b/>
          <w:bCs/>
          <w:sz w:val="24"/>
          <w:szCs w:val="24"/>
        </w:rPr>
        <w:t>Результати дослідження</w:t>
      </w:r>
      <w:r w:rsidRPr="002923D6">
        <w:rPr>
          <w:rFonts w:eastAsia="Calibri"/>
          <w:sz w:val="24"/>
          <w:szCs w:val="24"/>
        </w:rPr>
        <w:t>. Аналіз показників функціонального стану, самопочуття та психоемоційного стану і показників когнітивної працездатності засвідчив, що до початку педагогічного експерименту середні значення індексу Руф’є у студенток контрольної та експериментальної груп практично не відрізнялися (табл.1).</w:t>
      </w:r>
    </w:p>
    <w:p w:rsidR="002923D6" w:rsidRPr="002923D6" w:rsidRDefault="002923D6" w:rsidP="002923D6">
      <w:pPr>
        <w:spacing w:after="0" w:line="240" w:lineRule="auto"/>
        <w:ind w:firstLine="720"/>
        <w:jc w:val="both"/>
        <w:rPr>
          <w:sz w:val="24"/>
          <w:szCs w:val="24"/>
        </w:rPr>
      </w:pPr>
      <w:r w:rsidRPr="002923D6">
        <w:rPr>
          <w:sz w:val="24"/>
          <w:szCs w:val="24"/>
        </w:rPr>
        <w:t xml:space="preserve">Після завершення експерименту у контрольній групі спостерігалося лише незначне покращення показників, що може пояснюватися загальним впливом навчального процесу фізичного виховання. Водночас у студенток експериментальної </w:t>
      </w:r>
      <w:r w:rsidRPr="002923D6">
        <w:rPr>
          <w:sz w:val="24"/>
          <w:szCs w:val="24"/>
        </w:rPr>
        <w:lastRenderedPageBreak/>
        <w:t>групи відбулося більш виражене покращення усіх трьох груп показників (статистично значуще для більшості показників).</w:t>
      </w:r>
    </w:p>
    <w:p w:rsidR="002923D6" w:rsidRPr="002923D6" w:rsidRDefault="002923D6" w:rsidP="002923D6">
      <w:pPr>
        <w:spacing w:after="0" w:line="240" w:lineRule="auto"/>
        <w:ind w:firstLine="720"/>
        <w:jc w:val="right"/>
        <w:rPr>
          <w:rFonts w:eastAsia="Calibri"/>
          <w:i/>
          <w:iCs/>
          <w:sz w:val="24"/>
          <w:szCs w:val="24"/>
        </w:rPr>
      </w:pPr>
      <w:r w:rsidRPr="002923D6">
        <w:rPr>
          <w:rFonts w:eastAsia="Calibri"/>
          <w:i/>
          <w:iCs/>
          <w:sz w:val="24"/>
          <w:szCs w:val="24"/>
        </w:rPr>
        <w:t>Таблиця 1</w:t>
      </w:r>
    </w:p>
    <w:p w:rsidR="002923D6" w:rsidRPr="002923D6" w:rsidRDefault="002923D6" w:rsidP="002923D6">
      <w:pPr>
        <w:spacing w:after="0" w:line="240" w:lineRule="auto"/>
        <w:ind w:firstLine="720"/>
        <w:jc w:val="center"/>
        <w:rPr>
          <w:rFonts w:eastAsia="Calibri"/>
          <w:b/>
          <w:sz w:val="24"/>
          <w:szCs w:val="24"/>
        </w:rPr>
      </w:pPr>
      <w:r w:rsidRPr="002923D6">
        <w:rPr>
          <w:rFonts w:eastAsia="Calibri"/>
          <w:b/>
          <w:sz w:val="24"/>
          <w:szCs w:val="24"/>
        </w:rPr>
        <w:t>Показники студенток в умовах педагогічного експерименту</w:t>
      </w:r>
    </w:p>
    <w:tbl>
      <w:tblPr>
        <w:tblStyle w:val="41"/>
        <w:tblW w:w="9103" w:type="dxa"/>
        <w:jc w:val="center"/>
        <w:tblBorders>
          <w:insideH w:val="none" w:sz="0" w:space="0" w:color="auto"/>
          <w:insideV w:val="none" w:sz="0" w:space="0" w:color="auto"/>
        </w:tblBorders>
        <w:tblLook w:val="04A0" w:firstRow="1" w:lastRow="0" w:firstColumn="1" w:lastColumn="0" w:noHBand="0" w:noVBand="1"/>
      </w:tblPr>
      <w:tblGrid>
        <w:gridCol w:w="3205"/>
        <w:gridCol w:w="1405"/>
        <w:gridCol w:w="1544"/>
        <w:gridCol w:w="1405"/>
        <w:gridCol w:w="1544"/>
      </w:tblGrid>
      <w:tr w:rsidR="002923D6" w:rsidRPr="002923D6" w:rsidTr="00C07F42">
        <w:trPr>
          <w:jc w:val="center"/>
        </w:trPr>
        <w:tc>
          <w:tcPr>
            <w:tcW w:w="3205" w:type="dxa"/>
            <w:tcBorders>
              <w:top w:val="single" w:sz="4" w:space="0" w:color="auto"/>
              <w:bottom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Показники</w:t>
            </w:r>
          </w:p>
        </w:tc>
        <w:tc>
          <w:tcPr>
            <w:tcW w:w="1405" w:type="dxa"/>
            <w:tcBorders>
              <w:top w:val="single" w:sz="4" w:space="0" w:color="auto"/>
              <w:bottom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КГ до ПЕ</w:t>
            </w:r>
          </w:p>
        </w:tc>
        <w:tc>
          <w:tcPr>
            <w:tcW w:w="1544" w:type="dxa"/>
            <w:tcBorders>
              <w:top w:val="single" w:sz="4" w:space="0" w:color="auto"/>
              <w:bottom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КГ після ПЕ</w:t>
            </w:r>
          </w:p>
        </w:tc>
        <w:tc>
          <w:tcPr>
            <w:tcW w:w="1405" w:type="dxa"/>
            <w:tcBorders>
              <w:top w:val="single" w:sz="4" w:space="0" w:color="auto"/>
              <w:bottom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ЕГ до ПЕ</w:t>
            </w:r>
          </w:p>
        </w:tc>
        <w:tc>
          <w:tcPr>
            <w:tcW w:w="1544" w:type="dxa"/>
            <w:tcBorders>
              <w:top w:val="single" w:sz="4" w:space="0" w:color="auto"/>
              <w:bottom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ЕГ після ПЕ</w:t>
            </w:r>
          </w:p>
        </w:tc>
      </w:tr>
      <w:tr w:rsidR="002923D6" w:rsidRPr="002923D6" w:rsidTr="00C07F42">
        <w:trPr>
          <w:jc w:val="center"/>
        </w:trPr>
        <w:tc>
          <w:tcPr>
            <w:tcW w:w="3205" w:type="dxa"/>
            <w:tcBorders>
              <w:top w:val="single" w:sz="4" w:space="0" w:color="auto"/>
            </w:tcBorders>
          </w:tcPr>
          <w:p w:rsidR="002923D6" w:rsidRPr="002923D6" w:rsidRDefault="002923D6" w:rsidP="002923D6">
            <w:pPr>
              <w:spacing w:after="0" w:line="240" w:lineRule="auto"/>
              <w:ind w:right="172"/>
              <w:jc w:val="both"/>
              <w:outlineLvl w:val="0"/>
              <w:rPr>
                <w:sz w:val="24"/>
                <w:szCs w:val="24"/>
              </w:rPr>
            </w:pPr>
            <w:r w:rsidRPr="002923D6">
              <w:rPr>
                <w:sz w:val="24"/>
                <w:szCs w:val="24"/>
              </w:rPr>
              <w:t>Індекс Руф’є, ум. од.</w:t>
            </w:r>
          </w:p>
        </w:tc>
        <w:tc>
          <w:tcPr>
            <w:tcW w:w="1405" w:type="dxa"/>
            <w:tcBorders>
              <w:top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12,6 ± 2,1</w:t>
            </w:r>
          </w:p>
        </w:tc>
        <w:tc>
          <w:tcPr>
            <w:tcW w:w="1544" w:type="dxa"/>
            <w:tcBorders>
              <w:top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12,1 ± 2,0</w:t>
            </w:r>
          </w:p>
        </w:tc>
        <w:tc>
          <w:tcPr>
            <w:tcW w:w="1405" w:type="dxa"/>
            <w:tcBorders>
              <w:top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12,4 ± 2,2</w:t>
            </w:r>
          </w:p>
        </w:tc>
        <w:tc>
          <w:tcPr>
            <w:tcW w:w="1544" w:type="dxa"/>
            <w:tcBorders>
              <w:top w:val="single" w:sz="4" w:space="0" w:color="auto"/>
            </w:tcBorders>
          </w:tcPr>
          <w:p w:rsidR="002923D6" w:rsidRPr="002923D6" w:rsidRDefault="002923D6" w:rsidP="002923D6">
            <w:pPr>
              <w:spacing w:after="0" w:line="240" w:lineRule="auto"/>
              <w:jc w:val="both"/>
              <w:outlineLvl w:val="0"/>
              <w:rPr>
                <w:sz w:val="24"/>
                <w:szCs w:val="24"/>
              </w:rPr>
            </w:pPr>
            <w:r w:rsidRPr="002923D6">
              <w:rPr>
                <w:sz w:val="24"/>
                <w:szCs w:val="24"/>
              </w:rPr>
              <w:t>9,8 ± 1,9*</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Фізична активність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3,1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3,1 ± 0,6</w:t>
            </w:r>
          </w:p>
        </w:tc>
        <w:tc>
          <w:tcPr>
            <w:tcW w:w="1405" w:type="dxa"/>
            <w:shd w:val="clear" w:color="auto" w:fill="FFFFFF"/>
          </w:tcPr>
          <w:p w:rsidR="002923D6" w:rsidRPr="002923D6" w:rsidRDefault="002923D6" w:rsidP="002923D6">
            <w:pPr>
              <w:spacing w:after="0" w:line="240" w:lineRule="auto"/>
              <w:jc w:val="both"/>
              <w:outlineLvl w:val="0"/>
              <w:rPr>
                <w:sz w:val="24"/>
                <w:szCs w:val="24"/>
                <w:highlight w:val="yellow"/>
              </w:rPr>
            </w:pPr>
            <w:r w:rsidRPr="002923D6">
              <w:rPr>
                <w:sz w:val="24"/>
                <w:szCs w:val="24"/>
              </w:rPr>
              <w:t>3,0 ± 0,7</w:t>
            </w:r>
          </w:p>
        </w:tc>
        <w:tc>
          <w:tcPr>
            <w:tcW w:w="1544" w:type="dxa"/>
            <w:shd w:val="clear" w:color="auto" w:fill="FFFFFF"/>
          </w:tcPr>
          <w:p w:rsidR="002923D6" w:rsidRPr="002923D6" w:rsidRDefault="002923D6" w:rsidP="002923D6">
            <w:pPr>
              <w:spacing w:after="0" w:line="240" w:lineRule="auto"/>
              <w:jc w:val="both"/>
              <w:outlineLvl w:val="0"/>
              <w:rPr>
                <w:sz w:val="24"/>
                <w:szCs w:val="24"/>
                <w:highlight w:val="yellow"/>
              </w:rPr>
            </w:pPr>
            <w:r w:rsidRPr="002923D6">
              <w:rPr>
                <w:sz w:val="24"/>
                <w:szCs w:val="24"/>
              </w:rPr>
              <w:t>3,0 ± 0,7</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Самопочуття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3,3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3,4 ± 0,6</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3,2 ± 0,7</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4,1 ± 0,5*</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Рівень втомленості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3,1 ± 0,7</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3,0 ± 0,7</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3,2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2,3 ± 0,5*</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Бадьорість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2,9 ± 0,5</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2,9 ± 0,5</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3,0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4,0 ± 0,7*</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Психоемоційний стан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3,4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3,5 ± 0,6</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3,3 ± 0,7</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4,2 ± 0,6*</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Настрій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3,2 ± 0,5</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3,2 ± 0,5</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3,1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4,1 ± 0,4*</w:t>
            </w: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Сон (відновлення) (бали)</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3,0 ± 0,6</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3,0 ± 0,6</w:t>
            </w:r>
          </w:p>
        </w:tc>
        <w:tc>
          <w:tcPr>
            <w:tcW w:w="1405" w:type="dxa"/>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2"/>
            </w:tblGrid>
            <w:tr w:rsidR="002923D6" w:rsidRPr="002923D6" w:rsidTr="00C07F42">
              <w:trPr>
                <w:tblCellSpacing w:w="15" w:type="dxa"/>
              </w:trPr>
              <w:tc>
                <w:tcPr>
                  <w:tcW w:w="0" w:type="auto"/>
                  <w:vAlign w:val="center"/>
                  <w:hideMark/>
                </w:tcPr>
                <w:p w:rsidR="002923D6" w:rsidRPr="002923D6" w:rsidRDefault="002923D6" w:rsidP="002923D6">
                  <w:pPr>
                    <w:spacing w:after="160" w:line="240" w:lineRule="auto"/>
                    <w:rPr>
                      <w:rFonts w:eastAsia="Calibri"/>
                      <w:sz w:val="24"/>
                      <w:szCs w:val="24"/>
                      <w:highlight w:val="yellow"/>
                    </w:rPr>
                  </w:pPr>
                  <w:r w:rsidRPr="002923D6">
                    <w:rPr>
                      <w:rFonts w:eastAsia="Calibri"/>
                      <w:sz w:val="24"/>
                      <w:szCs w:val="24"/>
                    </w:rPr>
                    <w:t>3,1 ± 0,5</w:t>
                  </w:r>
                </w:p>
              </w:tc>
            </w:tr>
          </w:tbl>
          <w:p w:rsidR="002923D6" w:rsidRPr="002923D6" w:rsidRDefault="002923D6" w:rsidP="002923D6">
            <w:pPr>
              <w:spacing w:after="0" w:line="240" w:lineRule="auto"/>
              <w:jc w:val="both"/>
              <w:outlineLvl w:val="0"/>
              <w:rPr>
                <w:sz w:val="24"/>
                <w:szCs w:val="24"/>
                <w:highlight w:val="yellow"/>
              </w:rPr>
            </w:pPr>
          </w:p>
        </w:tc>
        <w:tc>
          <w:tcPr>
            <w:tcW w:w="1544" w:type="dxa"/>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2"/>
            </w:tblGrid>
            <w:tr w:rsidR="002923D6" w:rsidRPr="002923D6" w:rsidTr="00C07F42">
              <w:trPr>
                <w:tblCellSpacing w:w="15" w:type="dxa"/>
              </w:trPr>
              <w:tc>
                <w:tcPr>
                  <w:tcW w:w="0" w:type="auto"/>
                  <w:vAlign w:val="center"/>
                  <w:hideMark/>
                </w:tcPr>
                <w:p w:rsidR="002923D6" w:rsidRPr="002923D6" w:rsidRDefault="002923D6" w:rsidP="002923D6">
                  <w:pPr>
                    <w:spacing w:after="160" w:line="240" w:lineRule="auto"/>
                    <w:rPr>
                      <w:rFonts w:eastAsia="Calibri"/>
                      <w:sz w:val="24"/>
                      <w:szCs w:val="24"/>
                      <w:highlight w:val="yellow"/>
                    </w:rPr>
                  </w:pPr>
                  <w:r w:rsidRPr="002923D6">
                    <w:rPr>
                      <w:rFonts w:eastAsia="Calibri"/>
                      <w:sz w:val="24"/>
                      <w:szCs w:val="24"/>
                    </w:rPr>
                    <w:t>3,7 ± 0,5</w:t>
                  </w:r>
                </w:p>
              </w:tc>
            </w:tr>
          </w:tbl>
          <w:p w:rsidR="002923D6" w:rsidRPr="002923D6" w:rsidRDefault="002923D6" w:rsidP="002923D6">
            <w:pPr>
              <w:spacing w:after="0" w:line="240" w:lineRule="auto"/>
              <w:jc w:val="both"/>
              <w:outlineLvl w:val="0"/>
              <w:rPr>
                <w:sz w:val="24"/>
                <w:szCs w:val="24"/>
                <w:highlight w:val="yellow"/>
              </w:rPr>
            </w:pPr>
          </w:p>
        </w:tc>
      </w:tr>
      <w:tr w:rsidR="002923D6" w:rsidRPr="002923D6" w:rsidTr="002923D6">
        <w:trPr>
          <w:jc w:val="center"/>
        </w:trPr>
        <w:tc>
          <w:tcPr>
            <w:tcW w:w="3205" w:type="dxa"/>
            <w:shd w:val="clear" w:color="auto" w:fill="FFFFFF"/>
          </w:tcPr>
          <w:p w:rsidR="002923D6" w:rsidRPr="002923D6" w:rsidRDefault="002923D6" w:rsidP="002923D6">
            <w:pPr>
              <w:spacing w:after="0" w:line="240" w:lineRule="auto"/>
              <w:ind w:right="172"/>
              <w:jc w:val="both"/>
              <w:outlineLvl w:val="0"/>
              <w:rPr>
                <w:sz w:val="24"/>
                <w:szCs w:val="24"/>
              </w:rPr>
            </w:pPr>
            <w:r w:rsidRPr="002923D6">
              <w:rPr>
                <w:sz w:val="24"/>
                <w:szCs w:val="24"/>
              </w:rPr>
              <w:t>Швидкість переробки інформації (символів)</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535,5±74,5</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548,4 ± 70,5</w:t>
            </w:r>
          </w:p>
        </w:tc>
        <w:tc>
          <w:tcPr>
            <w:tcW w:w="1405"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529,5±76,9</w:t>
            </w:r>
          </w:p>
        </w:tc>
        <w:tc>
          <w:tcPr>
            <w:tcW w:w="1544" w:type="dxa"/>
            <w:shd w:val="clear" w:color="auto" w:fill="FFFFFF"/>
          </w:tcPr>
          <w:p w:rsidR="002923D6" w:rsidRPr="002923D6" w:rsidRDefault="002923D6" w:rsidP="002923D6">
            <w:pPr>
              <w:spacing w:after="0" w:line="240" w:lineRule="auto"/>
              <w:jc w:val="both"/>
              <w:outlineLvl w:val="0"/>
              <w:rPr>
                <w:sz w:val="24"/>
                <w:szCs w:val="24"/>
              </w:rPr>
            </w:pPr>
            <w:r w:rsidRPr="002923D6">
              <w:rPr>
                <w:sz w:val="24"/>
                <w:szCs w:val="24"/>
              </w:rPr>
              <w:t>612,6±68,2*</w:t>
            </w:r>
          </w:p>
        </w:tc>
      </w:tr>
      <w:tr w:rsidR="002923D6" w:rsidRPr="002923D6" w:rsidTr="00C07F42">
        <w:trPr>
          <w:jc w:val="center"/>
        </w:trPr>
        <w:tc>
          <w:tcPr>
            <w:tcW w:w="3205" w:type="dxa"/>
          </w:tcPr>
          <w:p w:rsidR="002923D6" w:rsidRPr="002923D6" w:rsidRDefault="002923D6" w:rsidP="002923D6">
            <w:pPr>
              <w:spacing w:after="0" w:line="240" w:lineRule="auto"/>
              <w:ind w:right="172"/>
              <w:jc w:val="both"/>
              <w:outlineLvl w:val="0"/>
              <w:rPr>
                <w:sz w:val="24"/>
                <w:szCs w:val="24"/>
              </w:rPr>
            </w:pPr>
            <w:r w:rsidRPr="002923D6">
              <w:rPr>
                <w:sz w:val="24"/>
                <w:szCs w:val="24"/>
              </w:rPr>
              <w:t>Концентрація уваги (правильні дії)</w:t>
            </w:r>
          </w:p>
        </w:tc>
        <w:tc>
          <w:tcPr>
            <w:tcW w:w="1405" w:type="dxa"/>
          </w:tcPr>
          <w:p w:rsidR="002923D6" w:rsidRPr="002923D6" w:rsidRDefault="002923D6" w:rsidP="002923D6">
            <w:pPr>
              <w:spacing w:after="0" w:line="240" w:lineRule="auto"/>
              <w:jc w:val="both"/>
              <w:outlineLvl w:val="0"/>
              <w:rPr>
                <w:sz w:val="24"/>
                <w:szCs w:val="24"/>
              </w:rPr>
            </w:pPr>
            <w:r w:rsidRPr="002923D6">
              <w:rPr>
                <w:sz w:val="24"/>
                <w:szCs w:val="24"/>
              </w:rPr>
              <w:t>472,2±61,3</w:t>
            </w:r>
          </w:p>
        </w:tc>
        <w:tc>
          <w:tcPr>
            <w:tcW w:w="1544" w:type="dxa"/>
          </w:tcPr>
          <w:p w:rsidR="002923D6" w:rsidRPr="002923D6" w:rsidRDefault="002923D6" w:rsidP="002923D6">
            <w:pPr>
              <w:spacing w:after="0" w:line="240" w:lineRule="auto"/>
              <w:jc w:val="both"/>
              <w:outlineLvl w:val="0"/>
              <w:rPr>
                <w:sz w:val="24"/>
                <w:szCs w:val="24"/>
              </w:rPr>
            </w:pPr>
            <w:r w:rsidRPr="002923D6">
              <w:rPr>
                <w:sz w:val="24"/>
                <w:szCs w:val="24"/>
              </w:rPr>
              <w:t>485,7 ± 59,9</w:t>
            </w:r>
          </w:p>
        </w:tc>
        <w:tc>
          <w:tcPr>
            <w:tcW w:w="1405" w:type="dxa"/>
          </w:tcPr>
          <w:p w:rsidR="002923D6" w:rsidRPr="002923D6" w:rsidRDefault="002923D6" w:rsidP="002923D6">
            <w:pPr>
              <w:spacing w:after="0" w:line="240" w:lineRule="auto"/>
              <w:jc w:val="both"/>
              <w:outlineLvl w:val="0"/>
              <w:rPr>
                <w:sz w:val="24"/>
                <w:szCs w:val="24"/>
              </w:rPr>
            </w:pPr>
            <w:r w:rsidRPr="002923D6">
              <w:rPr>
                <w:sz w:val="24"/>
                <w:szCs w:val="24"/>
              </w:rPr>
              <w:t>468,4±63,7</w:t>
            </w:r>
          </w:p>
        </w:tc>
        <w:tc>
          <w:tcPr>
            <w:tcW w:w="1544" w:type="dxa"/>
          </w:tcPr>
          <w:p w:rsidR="002923D6" w:rsidRPr="002923D6" w:rsidRDefault="002923D6" w:rsidP="002923D6">
            <w:pPr>
              <w:spacing w:after="0" w:line="240" w:lineRule="auto"/>
              <w:jc w:val="both"/>
              <w:outlineLvl w:val="0"/>
              <w:rPr>
                <w:sz w:val="24"/>
                <w:szCs w:val="24"/>
              </w:rPr>
            </w:pPr>
            <w:r w:rsidRPr="002923D6">
              <w:rPr>
                <w:sz w:val="24"/>
                <w:szCs w:val="24"/>
              </w:rPr>
              <w:t>545,5±58,8*</w:t>
            </w:r>
          </w:p>
        </w:tc>
      </w:tr>
      <w:tr w:rsidR="002923D6" w:rsidRPr="002923D6" w:rsidTr="00C07F42">
        <w:trPr>
          <w:jc w:val="center"/>
        </w:trPr>
        <w:tc>
          <w:tcPr>
            <w:tcW w:w="3205" w:type="dxa"/>
          </w:tcPr>
          <w:p w:rsidR="002923D6" w:rsidRPr="002923D6" w:rsidRDefault="002923D6" w:rsidP="002923D6">
            <w:pPr>
              <w:spacing w:after="0" w:line="240" w:lineRule="auto"/>
              <w:ind w:right="172"/>
              <w:jc w:val="both"/>
              <w:outlineLvl w:val="0"/>
              <w:rPr>
                <w:sz w:val="24"/>
                <w:szCs w:val="24"/>
              </w:rPr>
            </w:pPr>
            <w:r w:rsidRPr="002923D6">
              <w:rPr>
                <w:sz w:val="24"/>
                <w:szCs w:val="24"/>
              </w:rPr>
              <w:t>Стійкість уваги (коеф.)</w:t>
            </w:r>
          </w:p>
        </w:tc>
        <w:tc>
          <w:tcPr>
            <w:tcW w:w="1405" w:type="dxa"/>
          </w:tcPr>
          <w:p w:rsidR="002923D6" w:rsidRPr="002923D6" w:rsidRDefault="002923D6" w:rsidP="002923D6">
            <w:pPr>
              <w:spacing w:after="0" w:line="240" w:lineRule="auto"/>
              <w:jc w:val="both"/>
              <w:outlineLvl w:val="0"/>
              <w:rPr>
                <w:sz w:val="24"/>
                <w:szCs w:val="24"/>
              </w:rPr>
            </w:pPr>
            <w:r w:rsidRPr="002923D6">
              <w:rPr>
                <w:sz w:val="24"/>
                <w:szCs w:val="24"/>
              </w:rPr>
              <w:t>0,88 ± 0,05</w:t>
            </w:r>
          </w:p>
        </w:tc>
        <w:tc>
          <w:tcPr>
            <w:tcW w:w="1544" w:type="dxa"/>
          </w:tcPr>
          <w:p w:rsidR="002923D6" w:rsidRPr="002923D6" w:rsidRDefault="002923D6" w:rsidP="002923D6">
            <w:pPr>
              <w:spacing w:after="0" w:line="240" w:lineRule="auto"/>
              <w:jc w:val="both"/>
              <w:outlineLvl w:val="0"/>
              <w:rPr>
                <w:sz w:val="24"/>
                <w:szCs w:val="24"/>
              </w:rPr>
            </w:pPr>
            <w:r w:rsidRPr="002923D6">
              <w:rPr>
                <w:sz w:val="24"/>
                <w:szCs w:val="24"/>
              </w:rPr>
              <w:t>0,89 ± 0,05</w:t>
            </w:r>
          </w:p>
        </w:tc>
        <w:tc>
          <w:tcPr>
            <w:tcW w:w="1405" w:type="dxa"/>
          </w:tcPr>
          <w:p w:rsidR="002923D6" w:rsidRPr="002923D6" w:rsidRDefault="002923D6" w:rsidP="002923D6">
            <w:pPr>
              <w:spacing w:after="0" w:line="240" w:lineRule="auto"/>
              <w:jc w:val="both"/>
              <w:outlineLvl w:val="0"/>
              <w:rPr>
                <w:sz w:val="24"/>
                <w:szCs w:val="24"/>
              </w:rPr>
            </w:pPr>
            <w:r w:rsidRPr="002923D6">
              <w:rPr>
                <w:sz w:val="24"/>
                <w:szCs w:val="24"/>
              </w:rPr>
              <w:t>0,87 ± 0,06</w:t>
            </w:r>
          </w:p>
        </w:tc>
        <w:tc>
          <w:tcPr>
            <w:tcW w:w="1544" w:type="dxa"/>
          </w:tcPr>
          <w:p w:rsidR="002923D6" w:rsidRPr="002923D6" w:rsidRDefault="002923D6" w:rsidP="002923D6">
            <w:pPr>
              <w:spacing w:after="0" w:line="240" w:lineRule="auto"/>
              <w:jc w:val="both"/>
              <w:outlineLvl w:val="0"/>
              <w:rPr>
                <w:sz w:val="24"/>
                <w:szCs w:val="24"/>
              </w:rPr>
            </w:pPr>
            <w:r w:rsidRPr="002923D6">
              <w:rPr>
                <w:sz w:val="24"/>
                <w:szCs w:val="24"/>
              </w:rPr>
              <w:t>0,93 ± 0,04*</w:t>
            </w:r>
          </w:p>
        </w:tc>
      </w:tr>
      <w:tr w:rsidR="002923D6" w:rsidRPr="002923D6" w:rsidTr="00C07F42">
        <w:trPr>
          <w:jc w:val="center"/>
        </w:trPr>
        <w:tc>
          <w:tcPr>
            <w:tcW w:w="3205" w:type="dxa"/>
            <w:vAlign w:val="center"/>
          </w:tcPr>
          <w:p w:rsidR="002923D6" w:rsidRPr="002923D6" w:rsidRDefault="002923D6" w:rsidP="002923D6">
            <w:pPr>
              <w:spacing w:after="0" w:line="240" w:lineRule="auto"/>
              <w:ind w:right="172"/>
              <w:jc w:val="both"/>
              <w:outlineLvl w:val="0"/>
              <w:rPr>
                <w:sz w:val="24"/>
                <w:szCs w:val="24"/>
              </w:rPr>
            </w:pPr>
            <w:r w:rsidRPr="002923D6">
              <w:rPr>
                <w:sz w:val="24"/>
                <w:szCs w:val="24"/>
              </w:rPr>
              <w:t>Кількість помилок (шт.)</w:t>
            </w:r>
          </w:p>
        </w:tc>
        <w:tc>
          <w:tcPr>
            <w:tcW w:w="1405" w:type="dxa"/>
            <w:vAlign w:val="center"/>
          </w:tcPr>
          <w:p w:rsidR="002923D6" w:rsidRPr="002923D6" w:rsidRDefault="002923D6" w:rsidP="002923D6">
            <w:pPr>
              <w:spacing w:after="0" w:line="240" w:lineRule="auto"/>
              <w:jc w:val="both"/>
              <w:outlineLvl w:val="0"/>
              <w:rPr>
                <w:sz w:val="24"/>
                <w:szCs w:val="24"/>
              </w:rPr>
            </w:pPr>
            <w:r w:rsidRPr="002923D6">
              <w:rPr>
                <w:sz w:val="24"/>
                <w:szCs w:val="24"/>
              </w:rPr>
              <w:t>11,2 ± 4,1</w:t>
            </w:r>
          </w:p>
        </w:tc>
        <w:tc>
          <w:tcPr>
            <w:tcW w:w="1544" w:type="dxa"/>
            <w:vAlign w:val="center"/>
          </w:tcPr>
          <w:p w:rsidR="002923D6" w:rsidRPr="002923D6" w:rsidRDefault="002923D6" w:rsidP="002923D6">
            <w:pPr>
              <w:spacing w:after="0" w:line="240" w:lineRule="auto"/>
              <w:jc w:val="both"/>
              <w:outlineLvl w:val="0"/>
              <w:rPr>
                <w:sz w:val="24"/>
                <w:szCs w:val="24"/>
              </w:rPr>
            </w:pPr>
            <w:r w:rsidRPr="002923D6">
              <w:rPr>
                <w:sz w:val="24"/>
                <w:szCs w:val="24"/>
              </w:rPr>
              <w:t>10,6 ± 3,8</w:t>
            </w:r>
          </w:p>
        </w:tc>
        <w:tc>
          <w:tcPr>
            <w:tcW w:w="1405" w:type="dxa"/>
            <w:vAlign w:val="center"/>
          </w:tcPr>
          <w:p w:rsidR="002923D6" w:rsidRPr="002923D6" w:rsidRDefault="002923D6" w:rsidP="002923D6">
            <w:pPr>
              <w:spacing w:after="0" w:line="240" w:lineRule="auto"/>
              <w:jc w:val="both"/>
              <w:outlineLvl w:val="0"/>
              <w:rPr>
                <w:sz w:val="24"/>
                <w:szCs w:val="24"/>
              </w:rPr>
            </w:pPr>
            <w:r w:rsidRPr="002923D6">
              <w:rPr>
                <w:sz w:val="24"/>
                <w:szCs w:val="24"/>
              </w:rPr>
              <w:t>11,5 ± 4,3</w:t>
            </w:r>
          </w:p>
        </w:tc>
        <w:tc>
          <w:tcPr>
            <w:tcW w:w="1544" w:type="dxa"/>
            <w:vAlign w:val="center"/>
          </w:tcPr>
          <w:p w:rsidR="002923D6" w:rsidRPr="002923D6" w:rsidRDefault="002923D6" w:rsidP="002923D6">
            <w:pPr>
              <w:spacing w:after="0" w:line="240" w:lineRule="auto"/>
              <w:jc w:val="both"/>
              <w:outlineLvl w:val="0"/>
              <w:rPr>
                <w:sz w:val="24"/>
                <w:szCs w:val="24"/>
              </w:rPr>
            </w:pPr>
            <w:r w:rsidRPr="002923D6">
              <w:rPr>
                <w:sz w:val="24"/>
                <w:szCs w:val="24"/>
              </w:rPr>
              <w:t>6,9 ± 3,1*</w:t>
            </w:r>
          </w:p>
        </w:tc>
      </w:tr>
      <w:tr w:rsidR="002923D6" w:rsidRPr="002923D6" w:rsidTr="00C07F42">
        <w:trPr>
          <w:jc w:val="center"/>
        </w:trPr>
        <w:tc>
          <w:tcPr>
            <w:tcW w:w="3205" w:type="dxa"/>
            <w:vAlign w:val="center"/>
          </w:tcPr>
          <w:p w:rsidR="002923D6" w:rsidRPr="002923D6" w:rsidRDefault="002923D6" w:rsidP="002923D6">
            <w:pPr>
              <w:spacing w:after="0" w:line="240" w:lineRule="auto"/>
              <w:ind w:right="172"/>
              <w:jc w:val="both"/>
              <w:outlineLvl w:val="0"/>
              <w:rPr>
                <w:sz w:val="24"/>
                <w:szCs w:val="24"/>
              </w:rPr>
            </w:pPr>
            <w:r w:rsidRPr="002923D6">
              <w:rPr>
                <w:sz w:val="24"/>
                <w:szCs w:val="24"/>
              </w:rPr>
              <w:t>Розумова працездатність (ум. од.)</w:t>
            </w:r>
          </w:p>
        </w:tc>
        <w:tc>
          <w:tcPr>
            <w:tcW w:w="1405" w:type="dxa"/>
            <w:vAlign w:val="center"/>
          </w:tcPr>
          <w:p w:rsidR="002923D6" w:rsidRPr="002923D6" w:rsidRDefault="002923D6" w:rsidP="002923D6">
            <w:pPr>
              <w:spacing w:after="0" w:line="240" w:lineRule="auto"/>
              <w:jc w:val="both"/>
              <w:outlineLvl w:val="0"/>
              <w:rPr>
                <w:sz w:val="24"/>
                <w:szCs w:val="24"/>
              </w:rPr>
            </w:pPr>
            <w:r w:rsidRPr="002923D6">
              <w:rPr>
                <w:sz w:val="24"/>
                <w:szCs w:val="24"/>
              </w:rPr>
              <w:t>0,87 ± 0,06</w:t>
            </w:r>
          </w:p>
        </w:tc>
        <w:tc>
          <w:tcPr>
            <w:tcW w:w="1544" w:type="dxa"/>
            <w:vAlign w:val="center"/>
          </w:tcPr>
          <w:p w:rsidR="002923D6" w:rsidRPr="002923D6" w:rsidRDefault="002923D6" w:rsidP="002923D6">
            <w:pPr>
              <w:spacing w:after="0" w:line="240" w:lineRule="auto"/>
              <w:jc w:val="both"/>
              <w:outlineLvl w:val="0"/>
              <w:rPr>
                <w:sz w:val="24"/>
                <w:szCs w:val="24"/>
              </w:rPr>
            </w:pPr>
            <w:r w:rsidRPr="002923D6">
              <w:rPr>
                <w:sz w:val="24"/>
                <w:szCs w:val="24"/>
              </w:rPr>
              <w:t>0,88 ± 0,05</w:t>
            </w:r>
          </w:p>
        </w:tc>
        <w:tc>
          <w:tcPr>
            <w:tcW w:w="1405" w:type="dxa"/>
            <w:vAlign w:val="center"/>
          </w:tcPr>
          <w:p w:rsidR="002923D6" w:rsidRPr="002923D6" w:rsidRDefault="002923D6" w:rsidP="002923D6">
            <w:pPr>
              <w:spacing w:after="0" w:line="240" w:lineRule="auto"/>
              <w:jc w:val="both"/>
              <w:outlineLvl w:val="0"/>
              <w:rPr>
                <w:sz w:val="24"/>
                <w:szCs w:val="24"/>
              </w:rPr>
            </w:pPr>
            <w:r w:rsidRPr="002923D6">
              <w:rPr>
                <w:sz w:val="24"/>
                <w:szCs w:val="24"/>
              </w:rPr>
              <w:t>0,86 ± 0,06</w:t>
            </w:r>
          </w:p>
        </w:tc>
        <w:tc>
          <w:tcPr>
            <w:tcW w:w="1544" w:type="dxa"/>
            <w:vAlign w:val="center"/>
          </w:tcPr>
          <w:p w:rsidR="002923D6" w:rsidRPr="002923D6" w:rsidRDefault="002923D6" w:rsidP="002923D6">
            <w:pPr>
              <w:spacing w:after="0" w:line="240" w:lineRule="auto"/>
              <w:jc w:val="both"/>
              <w:outlineLvl w:val="0"/>
              <w:rPr>
                <w:sz w:val="24"/>
                <w:szCs w:val="24"/>
              </w:rPr>
            </w:pPr>
            <w:r w:rsidRPr="002923D6">
              <w:rPr>
                <w:sz w:val="24"/>
                <w:szCs w:val="24"/>
              </w:rPr>
              <w:t>0,93 ± 0,05</w:t>
            </w:r>
          </w:p>
        </w:tc>
      </w:tr>
    </w:tbl>
    <w:p w:rsidR="002923D6" w:rsidRPr="002923D6" w:rsidRDefault="002923D6" w:rsidP="002923D6">
      <w:pPr>
        <w:spacing w:after="0" w:line="240" w:lineRule="auto"/>
        <w:ind w:firstLine="720"/>
        <w:jc w:val="both"/>
        <w:rPr>
          <w:sz w:val="24"/>
          <w:szCs w:val="24"/>
        </w:rPr>
      </w:pPr>
      <w:r w:rsidRPr="002923D6">
        <w:rPr>
          <w:sz w:val="24"/>
          <w:szCs w:val="24"/>
        </w:rPr>
        <w:t xml:space="preserve">Примітка. * - достовірність розбіжностей – </w:t>
      </w:r>
      <w:r w:rsidRPr="002923D6">
        <w:rPr>
          <w:sz w:val="24"/>
          <w:szCs w:val="24"/>
          <w:lang w:val="en-US"/>
        </w:rPr>
        <w:t>p&lt;</w:t>
      </w:r>
      <w:r w:rsidRPr="002923D6">
        <w:rPr>
          <w:sz w:val="24"/>
          <w:szCs w:val="24"/>
        </w:rPr>
        <w:t>0,05</w:t>
      </w:r>
    </w:p>
    <w:p w:rsidR="002923D6" w:rsidRPr="002923D6" w:rsidRDefault="002923D6" w:rsidP="002923D6">
      <w:pPr>
        <w:spacing w:after="0" w:line="240" w:lineRule="auto"/>
        <w:ind w:firstLine="720"/>
        <w:jc w:val="both"/>
        <w:rPr>
          <w:sz w:val="24"/>
          <w:szCs w:val="24"/>
        </w:rPr>
      </w:pPr>
    </w:p>
    <w:p w:rsidR="002923D6" w:rsidRPr="002923D6" w:rsidRDefault="002923D6" w:rsidP="002923D6">
      <w:pPr>
        <w:spacing w:after="0" w:line="240" w:lineRule="auto"/>
        <w:ind w:firstLine="720"/>
        <w:jc w:val="both"/>
        <w:rPr>
          <w:sz w:val="24"/>
          <w:szCs w:val="24"/>
        </w:rPr>
      </w:pPr>
      <w:bookmarkStart w:id="47" w:name="_Hlk224206685"/>
      <w:r w:rsidRPr="002923D6">
        <w:rPr>
          <w:sz w:val="24"/>
          <w:szCs w:val="24"/>
        </w:rPr>
        <w:t xml:space="preserve">Аналіз показників функціонального стану засвідчив, що до початку педагогічного експерименту середні значення індексу Руф’є у студенток контрольної та експериментальної груп </w:t>
      </w:r>
      <w:bookmarkEnd w:id="47"/>
      <w:r w:rsidRPr="002923D6">
        <w:rPr>
          <w:sz w:val="24"/>
          <w:szCs w:val="24"/>
        </w:rPr>
        <w:t>відповідав задовільному рівню</w:t>
      </w:r>
      <w:r w:rsidRPr="002923D6">
        <w:rPr>
          <w:b/>
          <w:bCs/>
          <w:sz w:val="24"/>
          <w:szCs w:val="24"/>
        </w:rPr>
        <w:t xml:space="preserve"> </w:t>
      </w:r>
      <w:r w:rsidRPr="002923D6">
        <w:rPr>
          <w:iCs/>
          <w:sz w:val="24"/>
          <w:szCs w:val="24"/>
        </w:rPr>
        <w:t>фізичної працездатності серцево-судинної системи</w:t>
      </w:r>
      <w:r w:rsidRPr="002923D6">
        <w:rPr>
          <w:sz w:val="24"/>
          <w:szCs w:val="24"/>
        </w:rPr>
        <w:t>. В ході експерименту індекс Руф’є знизився, що свідчить про підвищення фізичної працездатності та покращення адаптаційних можливостей серцево-судинної системи.</w:t>
      </w:r>
    </w:p>
    <w:p w:rsidR="002923D6" w:rsidRPr="002923D6" w:rsidRDefault="002923D6" w:rsidP="002923D6">
      <w:pPr>
        <w:spacing w:after="0" w:line="240" w:lineRule="auto"/>
        <w:ind w:firstLine="709"/>
        <w:jc w:val="both"/>
        <w:rPr>
          <w:rFonts w:eastAsia="Calibri"/>
          <w:sz w:val="24"/>
          <w:szCs w:val="24"/>
        </w:rPr>
      </w:pPr>
      <w:r w:rsidRPr="002923D6">
        <w:rPr>
          <w:rFonts w:eastAsia="Calibri"/>
          <w:iCs/>
          <w:sz w:val="24"/>
          <w:szCs w:val="24"/>
        </w:rPr>
        <w:t xml:space="preserve">Фізична активність </w:t>
      </w:r>
      <w:r w:rsidRPr="002923D6">
        <w:rPr>
          <w:rFonts w:eastAsia="Calibri"/>
          <w:sz w:val="24"/>
          <w:szCs w:val="24"/>
        </w:rPr>
        <w:t>студенток експериментальної групи суттєво зросла, що може пояснюватися впровадженням спеціально розробленої програми занять, використанням різноманітних форм і методів організації рухової діяльності, а також підвищенням мотивації до занять фізичним вихованням. На відміну від цього, у студенток контрольної групи істотних змін не спостерігалося, що, ймовірно, пов’язано з нижчим рівнем зацікавленості та недостатньою мотивацією до систематичних занять фізичним вихованням.</w:t>
      </w:r>
    </w:p>
    <w:p w:rsidR="002923D6" w:rsidRPr="002923D6" w:rsidRDefault="002923D6" w:rsidP="002923D6">
      <w:pPr>
        <w:spacing w:after="0" w:line="240" w:lineRule="auto"/>
        <w:ind w:firstLine="720"/>
        <w:jc w:val="both"/>
        <w:rPr>
          <w:sz w:val="24"/>
          <w:szCs w:val="24"/>
        </w:rPr>
      </w:pPr>
      <w:r w:rsidRPr="002923D6">
        <w:rPr>
          <w:sz w:val="24"/>
          <w:szCs w:val="24"/>
        </w:rPr>
        <w:t xml:space="preserve">До початку дослідження рівень суб’єктивного </w:t>
      </w:r>
      <w:r w:rsidRPr="002923D6">
        <w:rPr>
          <w:iCs/>
          <w:sz w:val="24"/>
          <w:szCs w:val="24"/>
        </w:rPr>
        <w:t>самопочуття</w:t>
      </w:r>
      <w:r w:rsidRPr="002923D6">
        <w:rPr>
          <w:sz w:val="24"/>
          <w:szCs w:val="24"/>
        </w:rPr>
        <w:t xml:space="preserve"> студенток в обох групах перебував на середньому рівні. Після проведення педагогічного експерименту у контрольній групі спостерігалося незначне підвищення показника. Натомість у студенток експериментальної групи рівень самопочуття зріс більш суттєво, що свідчить про позитивний рекреаційний ефект систематичних занять плаванням.</w:t>
      </w:r>
    </w:p>
    <w:p w:rsidR="002923D6" w:rsidRPr="002923D6" w:rsidRDefault="002923D6" w:rsidP="002923D6">
      <w:pPr>
        <w:spacing w:after="0" w:line="240" w:lineRule="auto"/>
        <w:ind w:firstLine="720"/>
        <w:jc w:val="both"/>
        <w:rPr>
          <w:b/>
          <w:bCs/>
          <w:sz w:val="24"/>
          <w:szCs w:val="24"/>
        </w:rPr>
      </w:pPr>
      <w:r w:rsidRPr="002923D6">
        <w:rPr>
          <w:sz w:val="24"/>
          <w:szCs w:val="24"/>
        </w:rPr>
        <w:t xml:space="preserve">Показники суб’єктивної </w:t>
      </w:r>
      <w:r w:rsidRPr="002923D6">
        <w:rPr>
          <w:iCs/>
          <w:sz w:val="24"/>
          <w:szCs w:val="24"/>
        </w:rPr>
        <w:t>втомленості</w:t>
      </w:r>
      <w:r w:rsidRPr="002923D6">
        <w:rPr>
          <w:sz w:val="24"/>
          <w:szCs w:val="24"/>
        </w:rPr>
        <w:t xml:space="preserve"> та </w:t>
      </w:r>
      <w:r w:rsidRPr="002923D6">
        <w:rPr>
          <w:iCs/>
          <w:sz w:val="24"/>
          <w:szCs w:val="24"/>
        </w:rPr>
        <w:t>бадьорості</w:t>
      </w:r>
      <w:r w:rsidRPr="002923D6">
        <w:rPr>
          <w:sz w:val="24"/>
          <w:szCs w:val="24"/>
        </w:rPr>
        <w:t xml:space="preserve"> до експерименту у студенток обох груп були подібними. Після завершення експерименту у контрольній групі зміни були незначними. Водночас у студенток експериментальної групи показники змінилися, що свідчить про зменшення відчуття фізичної та психоемоційної втомленості та підвищення бадьорості. Це показує, що рекреаційне плавання ефективно покращує суб’єктивне відчуття енергії та життєвого тонусу.</w:t>
      </w:r>
    </w:p>
    <w:p w:rsidR="002923D6" w:rsidRPr="002923D6" w:rsidRDefault="002923D6" w:rsidP="002923D6">
      <w:pPr>
        <w:spacing w:after="0" w:line="240" w:lineRule="auto"/>
        <w:ind w:firstLine="720"/>
        <w:jc w:val="both"/>
        <w:rPr>
          <w:sz w:val="24"/>
          <w:szCs w:val="24"/>
        </w:rPr>
      </w:pPr>
      <w:r w:rsidRPr="002923D6">
        <w:rPr>
          <w:sz w:val="24"/>
          <w:szCs w:val="24"/>
        </w:rPr>
        <w:t xml:space="preserve">До початку дослідження рівень </w:t>
      </w:r>
      <w:r w:rsidRPr="002923D6">
        <w:rPr>
          <w:iCs/>
          <w:sz w:val="24"/>
          <w:szCs w:val="24"/>
        </w:rPr>
        <w:t>психоемоційного стану</w:t>
      </w:r>
      <w:r w:rsidRPr="002923D6">
        <w:rPr>
          <w:sz w:val="24"/>
          <w:szCs w:val="24"/>
        </w:rPr>
        <w:t xml:space="preserve"> студенток характеризувався середніми значеннями. Після завершення педагогічного </w:t>
      </w:r>
      <w:r w:rsidRPr="002923D6">
        <w:rPr>
          <w:sz w:val="24"/>
          <w:szCs w:val="24"/>
        </w:rPr>
        <w:lastRenderedPageBreak/>
        <w:t>експерименту у контрольній групі показник майже не змінився. Натомість у студенток експериментальної групи він зріс, що свідчить про покращення емоційного фону, зменшення рівня стресу та підвищення психологічного комфорту.</w:t>
      </w:r>
    </w:p>
    <w:p w:rsidR="002923D6" w:rsidRPr="002923D6" w:rsidRDefault="002923D6" w:rsidP="002923D6">
      <w:pPr>
        <w:spacing w:after="0" w:line="240" w:lineRule="auto"/>
        <w:ind w:firstLine="720"/>
        <w:jc w:val="both"/>
        <w:rPr>
          <w:sz w:val="24"/>
          <w:szCs w:val="24"/>
        </w:rPr>
      </w:pPr>
      <w:r w:rsidRPr="002923D6">
        <w:rPr>
          <w:sz w:val="24"/>
          <w:szCs w:val="24"/>
        </w:rPr>
        <w:t>В умовах педагогічного експерименту суттєво покращився настрій студенток спеціальної медичної групи, що можна пояснити позитивним впливом спеціально організованої рухової активності, підвищенням емоційної залученості до занять та створенням сприятливого психологічного клімату під час занять фізичним вихованням. Тоді як у контрольній групі достовірних змін цього показника не спостерігалося, що, ймовірно, пов’язано з відсутністю цілеспрямованого педагогічного впливу та незмінністю традиційної організації занять.</w:t>
      </w:r>
    </w:p>
    <w:p w:rsidR="002923D6" w:rsidRPr="002923D6" w:rsidRDefault="002923D6" w:rsidP="002923D6">
      <w:pPr>
        <w:spacing w:after="0" w:line="240" w:lineRule="auto"/>
        <w:ind w:firstLine="720"/>
        <w:jc w:val="both"/>
        <w:rPr>
          <w:sz w:val="24"/>
          <w:szCs w:val="24"/>
        </w:rPr>
      </w:pPr>
      <w:r w:rsidRPr="002923D6">
        <w:rPr>
          <w:sz w:val="24"/>
          <w:szCs w:val="24"/>
        </w:rPr>
        <w:t xml:space="preserve">В умовах педагогічного експерименту спостерігалося покращення показників </w:t>
      </w:r>
      <w:r w:rsidRPr="002923D6">
        <w:rPr>
          <w:iCs/>
          <w:sz w:val="24"/>
          <w:szCs w:val="24"/>
        </w:rPr>
        <w:t>сну</w:t>
      </w:r>
      <w:r w:rsidRPr="002923D6">
        <w:rPr>
          <w:sz w:val="24"/>
          <w:szCs w:val="24"/>
        </w:rPr>
        <w:t xml:space="preserve"> студенток спеціальної медичної групи, що, ймовірно, пов’язано з регулярною руховою активністю, нормалізацією психоемоційного стану та зниженням рівня напруження внаслідок участі у спеціально організованих заняттях фізичним вихованням. Тоді як у контрольній групі суттєвих змін показників сну не зафіксовано. Відсутність покращення показників сну у студенток контрольної групи, ймовірно, зумовлена відсутністю цілеспрямованого оздоровчого впливу та недостатнім рівнем рухової активності, що не сприяло нормалізації психоемоційного стану й регуляції добових біоритмів.</w:t>
      </w:r>
    </w:p>
    <w:p w:rsidR="002923D6" w:rsidRPr="002923D6" w:rsidRDefault="002923D6" w:rsidP="002923D6">
      <w:pPr>
        <w:spacing w:after="0" w:line="240" w:lineRule="auto"/>
        <w:ind w:firstLine="720"/>
        <w:jc w:val="both"/>
        <w:rPr>
          <w:sz w:val="24"/>
          <w:szCs w:val="24"/>
        </w:rPr>
      </w:pPr>
      <w:r w:rsidRPr="002923D6">
        <w:rPr>
          <w:sz w:val="24"/>
          <w:szCs w:val="24"/>
        </w:rPr>
        <w:t xml:space="preserve">До початку педагогічного експерименту показники </w:t>
      </w:r>
      <w:r w:rsidRPr="002923D6">
        <w:rPr>
          <w:iCs/>
          <w:sz w:val="24"/>
          <w:szCs w:val="24"/>
        </w:rPr>
        <w:t>швидкості переробки інформації</w:t>
      </w:r>
      <w:r w:rsidRPr="002923D6">
        <w:rPr>
          <w:sz w:val="24"/>
          <w:szCs w:val="24"/>
        </w:rPr>
        <w:t xml:space="preserve"> у студенток обох груп не відрізнялися та відповідали рівню нижче середнього, характерному для осіб спеціальної медичної групи. Після завершення педагогічного експерименту у студенток експериментальної групи спостерігалося покращення показників швидкості переробки інформації, що, ймовірно, пов’язано з позитивним впливом занять плаванням. Такий ефект може пояснюватися активізацією кровообігу та оксигенації головного мозку, зниженням психоемоційного напруження, а також стимуляцією когнітивних процесів унаслідок регулярної рухової активності. У контрольній групі змін показника не виявлено, що можна пояснити відсутністю спеціально організованого впливу та незмінністю умов занять фізичним вихованням.</w:t>
      </w:r>
    </w:p>
    <w:p w:rsidR="002923D6" w:rsidRPr="002923D6" w:rsidRDefault="002923D6" w:rsidP="002923D6">
      <w:pPr>
        <w:spacing w:after="0" w:line="240" w:lineRule="auto"/>
        <w:ind w:firstLine="720"/>
        <w:jc w:val="both"/>
        <w:rPr>
          <w:sz w:val="24"/>
          <w:szCs w:val="24"/>
        </w:rPr>
      </w:pPr>
      <w:r w:rsidRPr="002923D6">
        <w:rPr>
          <w:sz w:val="24"/>
          <w:szCs w:val="24"/>
        </w:rPr>
        <w:t xml:space="preserve">До експерименту показники </w:t>
      </w:r>
      <w:r w:rsidRPr="002923D6">
        <w:rPr>
          <w:iCs/>
          <w:sz w:val="24"/>
          <w:szCs w:val="24"/>
        </w:rPr>
        <w:t>концентрації уваги</w:t>
      </w:r>
      <w:r w:rsidRPr="002923D6">
        <w:rPr>
          <w:sz w:val="24"/>
          <w:szCs w:val="24"/>
        </w:rPr>
        <w:t xml:space="preserve"> у студенток обох груп були близькими. Після завершення експерименту у контрольній групі відбулося незначне покращення показника, тоді як у експериментальній групі він зріс, що свідчить про підвищення здатності до зосередження уваги під час виконання розумових завдань.</w:t>
      </w:r>
    </w:p>
    <w:p w:rsidR="002923D6" w:rsidRPr="002923D6" w:rsidRDefault="002923D6" w:rsidP="002923D6">
      <w:pPr>
        <w:spacing w:after="0" w:line="240" w:lineRule="auto"/>
        <w:ind w:firstLine="720"/>
        <w:jc w:val="both"/>
        <w:rPr>
          <w:b/>
          <w:bCs/>
          <w:sz w:val="24"/>
          <w:szCs w:val="24"/>
        </w:rPr>
      </w:pPr>
      <w:r w:rsidRPr="002923D6">
        <w:rPr>
          <w:sz w:val="24"/>
          <w:szCs w:val="24"/>
        </w:rPr>
        <w:t xml:space="preserve">Показники </w:t>
      </w:r>
      <w:r w:rsidRPr="002923D6">
        <w:rPr>
          <w:iCs/>
          <w:sz w:val="24"/>
          <w:szCs w:val="24"/>
        </w:rPr>
        <w:t>стійкості уваги</w:t>
      </w:r>
      <w:r w:rsidRPr="002923D6">
        <w:rPr>
          <w:sz w:val="24"/>
          <w:szCs w:val="24"/>
        </w:rPr>
        <w:t xml:space="preserve"> до експерименту оцінювалися як середні. Після завершення педагогічного експерименту у контрольній групі зміни були мінімальними. Водночас у експериментальній групі показник підвищився, що свідчить про покращення здатності до тривалого збереження концентрації уваги</w:t>
      </w:r>
      <w:r w:rsidRPr="002923D6">
        <w:rPr>
          <w:b/>
          <w:bCs/>
          <w:sz w:val="24"/>
          <w:szCs w:val="24"/>
        </w:rPr>
        <w:t>.</w:t>
      </w:r>
    </w:p>
    <w:p w:rsidR="002923D6" w:rsidRPr="002923D6" w:rsidRDefault="002923D6" w:rsidP="002923D6">
      <w:pPr>
        <w:spacing w:after="0" w:line="240" w:lineRule="auto"/>
        <w:ind w:firstLine="720"/>
        <w:jc w:val="both"/>
        <w:rPr>
          <w:sz w:val="24"/>
          <w:szCs w:val="24"/>
        </w:rPr>
      </w:pPr>
      <w:r w:rsidRPr="002923D6">
        <w:rPr>
          <w:sz w:val="24"/>
          <w:szCs w:val="24"/>
        </w:rPr>
        <w:t xml:space="preserve">До початку експерименту кількість помилок у тесті Бурдона оцінювалася як висока, що можна пов’язати з особливостями психофункціонального стану студенток спеціальної медичної групи. Після завершення експерименту у контрольній групі показник дещо зменшився, тоді як у експериментальній групі він знизився більш суттєво, що свідчить про підвищення концентрації уваги, точності переробки інформації та загальної розумової працездатності під впливом систематичних занять плаванням. </w:t>
      </w:r>
    </w:p>
    <w:p w:rsidR="002923D6" w:rsidRPr="002923D6" w:rsidRDefault="002923D6" w:rsidP="002923D6">
      <w:pPr>
        <w:spacing w:after="0" w:line="240" w:lineRule="auto"/>
        <w:ind w:firstLine="709"/>
        <w:jc w:val="both"/>
        <w:rPr>
          <w:sz w:val="24"/>
          <w:szCs w:val="24"/>
        </w:rPr>
      </w:pPr>
      <w:r w:rsidRPr="002923D6">
        <w:rPr>
          <w:sz w:val="24"/>
          <w:szCs w:val="24"/>
        </w:rPr>
        <w:t xml:space="preserve">Показники </w:t>
      </w:r>
      <w:r w:rsidRPr="002923D6">
        <w:rPr>
          <w:iCs/>
          <w:sz w:val="24"/>
          <w:szCs w:val="24"/>
        </w:rPr>
        <w:t>розумової працездатності</w:t>
      </w:r>
      <w:r w:rsidRPr="002923D6">
        <w:rPr>
          <w:sz w:val="24"/>
          <w:szCs w:val="24"/>
        </w:rPr>
        <w:t xml:space="preserve"> до початку дослідження були подібними у студенток обох груп і відповідали рівню нижчому за середній для студенток спеціальної медичної групи. Після завершення експерименту у контрольній групі показник майже не змінився, що можна пояснити відсутністю спеціально організованого впливу на когнітивні процеси та незмінністю традиційної програми фізичного виховання. Натомість у експериментальній групі спостерігалося суттєве підвищення розумової працездатності, що свідчить про ефективність систематичних </w:t>
      </w:r>
      <w:r w:rsidRPr="002923D6">
        <w:rPr>
          <w:sz w:val="24"/>
          <w:szCs w:val="24"/>
        </w:rPr>
        <w:lastRenderedPageBreak/>
        <w:t>занять плаванням, які сприяли поліпшенню кровопостачання мозку, зниженню психоемоційного напруження, нормалізації сну та стимуляції когнітивних функцій через комплексний вплив фізичної активності на нервову систему.</w:t>
      </w:r>
    </w:p>
    <w:p w:rsidR="002923D6" w:rsidRPr="002923D6" w:rsidRDefault="002923D6" w:rsidP="002923D6">
      <w:pPr>
        <w:spacing w:after="0" w:line="240" w:lineRule="auto"/>
        <w:ind w:firstLine="720"/>
        <w:jc w:val="both"/>
        <w:outlineLvl w:val="2"/>
        <w:rPr>
          <w:sz w:val="24"/>
          <w:szCs w:val="24"/>
        </w:rPr>
      </w:pPr>
      <w:r w:rsidRPr="002923D6">
        <w:rPr>
          <w:b/>
          <w:bCs/>
          <w:sz w:val="24"/>
          <w:szCs w:val="24"/>
        </w:rPr>
        <w:t xml:space="preserve">Обговорення результатів. </w:t>
      </w:r>
      <w:r w:rsidRPr="002923D6">
        <w:rPr>
          <w:sz w:val="24"/>
          <w:szCs w:val="24"/>
        </w:rPr>
        <w:t>Попри численні дослідження, що підтверджують позитивний вплив плавання на фізичний розвиток та психоемоційний стан, недостатньо системних даних щодо комплексного оцінювання оздоровчого, рекреаційного та когнітивного ефекту занять плаванням у студентів, що ускладнює розробку практичних рекомендацій для їх застосування у навчальному та оздоровчому процесі [1</w:t>
      </w:r>
      <w:r w:rsidR="0004467E">
        <w:rPr>
          <w:sz w:val="24"/>
          <w:szCs w:val="24"/>
        </w:rPr>
        <w:t>–</w:t>
      </w:r>
      <w:r w:rsidRPr="002923D6">
        <w:rPr>
          <w:sz w:val="24"/>
          <w:szCs w:val="24"/>
        </w:rPr>
        <w:t>7]. Результати останніх робіт показують, що регулярне плавання сприяє покращенню концентрації, когнітивної працездатності, психоемоційного стану та фізичного розвитку студентів, підлітків і молоді [1</w:t>
      </w:r>
      <w:r w:rsidR="0004467E">
        <w:rPr>
          <w:sz w:val="24"/>
          <w:szCs w:val="24"/>
        </w:rPr>
        <w:t>–</w:t>
      </w:r>
      <w:r w:rsidRPr="002923D6">
        <w:rPr>
          <w:sz w:val="24"/>
          <w:szCs w:val="24"/>
        </w:rPr>
        <w:t>7], що підтверджує актуальність подальших досліджень у цьому напрямі.</w:t>
      </w:r>
    </w:p>
    <w:p w:rsidR="002923D6" w:rsidRPr="002923D6" w:rsidRDefault="002923D6" w:rsidP="002923D6">
      <w:pPr>
        <w:spacing w:after="0" w:line="240" w:lineRule="auto"/>
        <w:ind w:firstLine="720"/>
        <w:jc w:val="both"/>
        <w:outlineLvl w:val="2"/>
        <w:rPr>
          <w:sz w:val="24"/>
          <w:szCs w:val="24"/>
        </w:rPr>
      </w:pPr>
      <w:r w:rsidRPr="002923D6">
        <w:rPr>
          <w:sz w:val="24"/>
          <w:szCs w:val="24"/>
        </w:rPr>
        <w:t xml:space="preserve">Результати нашого дослідження показали, що регулярні заняття плаванням у студенток експериментальної групи супроводжувалися значним покращенням функціонального стану серцево‑судинної системи, що відображено у зниженні індексу Руф’є порівняно з контрольною групою. Це узгоджується з даними літератури, які підтверджують позитивний вплив оздоровчого плавання на функціональний стан організму та нормалізацію діяльності серцево-судинної та дихальної систем у молодих осіб [3]. Наші результати повністю співпадають з трендами літератури про істотне підвищення фізичної активності після систематичних занять плаванням. Показник у наших студенток навіть трохи вищий, ніж у </w:t>
      </w:r>
      <w:r w:rsidRPr="002923D6">
        <w:rPr>
          <w:sz w:val="24"/>
          <w:szCs w:val="24"/>
          <w:lang w:val="ru-RU"/>
        </w:rPr>
        <w:t>[1]</w:t>
      </w:r>
      <w:r w:rsidRPr="002923D6">
        <w:rPr>
          <w:sz w:val="24"/>
          <w:szCs w:val="24"/>
        </w:rPr>
        <w:t>, що може свідчити про ефективність нашої програми.</w:t>
      </w:r>
    </w:p>
    <w:p w:rsidR="002923D6" w:rsidRPr="002923D6" w:rsidRDefault="002923D6" w:rsidP="002923D6">
      <w:pPr>
        <w:spacing w:after="0" w:line="240" w:lineRule="auto"/>
        <w:ind w:firstLine="720"/>
        <w:jc w:val="both"/>
        <w:outlineLvl w:val="2"/>
        <w:rPr>
          <w:b/>
          <w:bCs/>
          <w:sz w:val="24"/>
          <w:szCs w:val="24"/>
        </w:rPr>
      </w:pPr>
      <w:r w:rsidRPr="002923D6">
        <w:rPr>
          <w:sz w:val="24"/>
          <w:szCs w:val="24"/>
        </w:rPr>
        <w:t>Суб’єктивні показники самопочуття, рівня втомленості та психоемоційного стану також покращилися у експериментальній групі. Це узгоджується з висновками мета‑аналізу, який показав, що занурення у воду і водні вправи статистично значуще знижують прояви тривожності та покращують настрій порівняно з вихідним станом (водне тренування: SMD ≈ -0,51, p &lt; 0,01)</w:t>
      </w:r>
      <w:r w:rsidRPr="002923D6">
        <w:rPr>
          <w:sz w:val="24"/>
          <w:szCs w:val="24"/>
          <w:lang w:val="ru-RU"/>
        </w:rPr>
        <w:t xml:space="preserve"> [4]</w:t>
      </w:r>
      <w:r w:rsidRPr="002923D6">
        <w:rPr>
          <w:sz w:val="24"/>
          <w:szCs w:val="24"/>
        </w:rPr>
        <w:t xml:space="preserve">. Результати були такими: вправи у воді [SMD = -0,77, 95% ДІ (-1,08, -0,47), I2 = 77%, P &lt; 0,01], плавання [SMD = -0,51, 95% ДІ </w:t>
      </w:r>
      <w:r w:rsidRPr="002923D6">
        <w:rPr>
          <w:sz w:val="24"/>
          <w:szCs w:val="24"/>
        </w:rPr>
        <w:br/>
        <w:t xml:space="preserve">(-1,14, 0,12), I2 = 78%, P &lt; 0,01], аква аеробіка [SMD = -0,92, 95% ДІ (-1,32, -0,53), I2 = 78%, P &lt; 0,01], помірна інтенсивність [SMD = -0,75, 95% ДІ </w:t>
      </w:r>
      <w:r w:rsidRPr="002923D6">
        <w:rPr>
          <w:sz w:val="24"/>
          <w:szCs w:val="24"/>
        </w:rPr>
        <w:br/>
        <w:t>(-1,07, -0,43), I2 = 67%, P &lt; 0,01] та низька інтенсивність [SMD = -1,07, 95% ДІ (-1,08, -0,47), I2 = 85%, P &lt; 0,01]. Такі результати підтверджують, що не лише фізичні показники, а й психоемоційний стан можуть бути позитивно модульовані водними тренуваннями, що важливо для студентів як соціально‑активної групи.</w:t>
      </w:r>
      <w:r w:rsidRPr="002923D6">
        <w:rPr>
          <w:b/>
          <w:bCs/>
          <w:sz w:val="24"/>
          <w:szCs w:val="24"/>
        </w:rPr>
        <w:t xml:space="preserve"> </w:t>
      </w:r>
    </w:p>
    <w:p w:rsidR="002923D6" w:rsidRPr="002923D6" w:rsidRDefault="002923D6" w:rsidP="002923D6">
      <w:pPr>
        <w:spacing w:after="0" w:line="240" w:lineRule="auto"/>
        <w:ind w:firstLine="720"/>
        <w:jc w:val="both"/>
        <w:outlineLvl w:val="2"/>
        <w:rPr>
          <w:sz w:val="24"/>
          <w:szCs w:val="24"/>
        </w:rPr>
      </w:pPr>
      <w:r w:rsidRPr="002923D6">
        <w:rPr>
          <w:sz w:val="24"/>
          <w:szCs w:val="24"/>
        </w:rPr>
        <w:t xml:space="preserve">Фахівець </w:t>
      </w:r>
      <w:r w:rsidRPr="002923D6">
        <w:rPr>
          <w:sz w:val="24"/>
          <w:szCs w:val="24"/>
          <w:lang w:val="ru-RU"/>
        </w:rPr>
        <w:t xml:space="preserve">[6] </w:t>
      </w:r>
      <w:r w:rsidRPr="002923D6">
        <w:rPr>
          <w:sz w:val="24"/>
          <w:szCs w:val="24"/>
        </w:rPr>
        <w:t xml:space="preserve">вказує, що систематичне плавання зменшує симптоми тривоги та депресії, підвищує позитивний настрій. Авторка </w:t>
      </w:r>
      <w:r w:rsidRPr="002923D6">
        <w:rPr>
          <w:sz w:val="24"/>
          <w:szCs w:val="24"/>
          <w:lang w:val="ru-RU"/>
        </w:rPr>
        <w:t xml:space="preserve">[7] </w:t>
      </w:r>
      <w:r w:rsidRPr="002923D6">
        <w:rPr>
          <w:sz w:val="24"/>
          <w:szCs w:val="24"/>
        </w:rPr>
        <w:t>показала покращення настрою студентів після регулярних оздоровчих занять плаванням. Наші результати відображають ті ж тенденції, що підтверджує оздоровчий і психологічний ефект занять.</w:t>
      </w:r>
    </w:p>
    <w:p w:rsidR="002923D6" w:rsidRPr="002923D6" w:rsidRDefault="002923D6" w:rsidP="002923D6">
      <w:pPr>
        <w:spacing w:after="0" w:line="240" w:lineRule="auto"/>
        <w:ind w:firstLine="709"/>
        <w:jc w:val="both"/>
        <w:rPr>
          <w:rFonts w:eastAsia="Calibri"/>
          <w:sz w:val="24"/>
          <w:szCs w:val="24"/>
        </w:rPr>
      </w:pPr>
      <w:r w:rsidRPr="002923D6">
        <w:rPr>
          <w:rFonts w:eastAsia="Calibri"/>
          <w:sz w:val="24"/>
          <w:szCs w:val="24"/>
        </w:rPr>
        <w:t xml:space="preserve">Науковці [2,4] зазначають, що плавання сприяє кращій </w:t>
      </w:r>
      <w:r w:rsidRPr="002923D6">
        <w:rPr>
          <w:rFonts w:eastAsia="Calibri"/>
          <w:iCs/>
          <w:sz w:val="24"/>
          <w:szCs w:val="24"/>
        </w:rPr>
        <w:t>якості сну</w:t>
      </w:r>
      <w:r w:rsidRPr="002923D6">
        <w:rPr>
          <w:rFonts w:eastAsia="Calibri"/>
          <w:sz w:val="24"/>
          <w:szCs w:val="24"/>
        </w:rPr>
        <w:t xml:space="preserve"> та швидшому відновленню після фізичної активності. Інші вчені [7] також зафіксувала покращення відновлення після занять. Наші показники повністю відповідають літературним даним, що підтверджує практичну ефективність програми рекреаційного та оздоровчого плавання для студентів які за станом здоров’я скеровані до спеціальної медичної групи.</w:t>
      </w:r>
    </w:p>
    <w:p w:rsidR="002923D6" w:rsidRPr="002923D6" w:rsidRDefault="002923D6" w:rsidP="002923D6">
      <w:pPr>
        <w:spacing w:after="0" w:line="240" w:lineRule="auto"/>
        <w:ind w:firstLine="720"/>
        <w:jc w:val="both"/>
        <w:outlineLvl w:val="2"/>
        <w:rPr>
          <w:sz w:val="24"/>
          <w:szCs w:val="24"/>
        </w:rPr>
      </w:pPr>
      <w:r w:rsidRPr="002923D6">
        <w:rPr>
          <w:sz w:val="24"/>
          <w:szCs w:val="24"/>
        </w:rPr>
        <w:t xml:space="preserve">Щодо когнітивної функції та уваги, отримані дані показують підвищення швидкості обробки інформації, концентрації та стійкості уваги в експериментальній групі. Ці результати співпадають з міжнародними дослідженнями, які продемонстрували, що вже після помірної сесії плавання відбувається покращення когнітивних показників, зокрема візуомоторної продуктивності і реактивної уваги (покращення на ≈4%, p &lt; 0,05) [5]. Хоча в літературі переважають дослідження щодо короткострокових ефектів, систематична участь у водних заняттях може мати подібний </w:t>
      </w:r>
      <w:r w:rsidRPr="002923D6">
        <w:rPr>
          <w:sz w:val="24"/>
          <w:szCs w:val="24"/>
        </w:rPr>
        <w:lastRenderedPageBreak/>
        <w:t xml:space="preserve">кумулятивний вплив на когнітивну сферу, що підтверджує загальну тенденцію до покращення розумової діяльності при фізичній активності у водному середовищі </w:t>
      </w:r>
      <w:bookmarkStart w:id="48" w:name="_Hlk224224118"/>
      <w:r w:rsidRPr="002923D6">
        <w:rPr>
          <w:sz w:val="24"/>
          <w:szCs w:val="24"/>
          <w:lang w:val="ru-RU"/>
        </w:rPr>
        <w:t>[6]</w:t>
      </w:r>
      <w:bookmarkEnd w:id="48"/>
      <w:r w:rsidRPr="002923D6">
        <w:rPr>
          <w:sz w:val="24"/>
          <w:szCs w:val="24"/>
        </w:rPr>
        <w:t>.</w:t>
      </w:r>
    </w:p>
    <w:p w:rsidR="002923D6" w:rsidRPr="002923D6" w:rsidRDefault="002923D6" w:rsidP="002923D6">
      <w:pPr>
        <w:spacing w:after="0" w:line="240" w:lineRule="auto"/>
        <w:ind w:firstLine="720"/>
        <w:jc w:val="both"/>
        <w:outlineLvl w:val="2"/>
        <w:rPr>
          <w:sz w:val="24"/>
          <w:szCs w:val="24"/>
        </w:rPr>
      </w:pPr>
      <w:r w:rsidRPr="002923D6">
        <w:rPr>
          <w:sz w:val="24"/>
          <w:szCs w:val="24"/>
        </w:rPr>
        <w:t xml:space="preserve">Важливо також зазначити, що значне зниження </w:t>
      </w:r>
      <w:r w:rsidRPr="002923D6">
        <w:rPr>
          <w:iCs/>
          <w:sz w:val="24"/>
          <w:szCs w:val="24"/>
        </w:rPr>
        <w:t>кількості помилок</w:t>
      </w:r>
      <w:r w:rsidRPr="002923D6">
        <w:rPr>
          <w:sz w:val="24"/>
          <w:szCs w:val="24"/>
        </w:rPr>
        <w:t xml:space="preserve"> у тесті Бурдона та підвищення розумової працездатності у експериментальній групі свідчить про комплексний ефект плавання, який поєднує фізіологічні і нейропсихологічні механізми. Плавання як аеробне навантаження зміцнює серцево‑судинну систему, що покращує перфузію мозку, а також стимулює нейрогенез і ангіогенез, що потенційно сприяє покращенню когнітивних функцій у студентів молодого віку [6].</w:t>
      </w:r>
    </w:p>
    <w:p w:rsidR="002923D6" w:rsidRPr="002923D6" w:rsidRDefault="002923D6" w:rsidP="002923D6">
      <w:pPr>
        <w:spacing w:after="0" w:line="240" w:lineRule="auto"/>
        <w:ind w:firstLine="720"/>
        <w:jc w:val="both"/>
        <w:outlineLvl w:val="2"/>
        <w:rPr>
          <w:sz w:val="24"/>
          <w:szCs w:val="24"/>
        </w:rPr>
      </w:pPr>
      <w:r w:rsidRPr="002923D6">
        <w:rPr>
          <w:sz w:val="24"/>
          <w:szCs w:val="24"/>
        </w:rPr>
        <w:t xml:space="preserve">Позитивний вплив плавання на студентів також відображено в наукових публікаціях, які звертають увагу на комплексний розвиток фізичних якостей і психічних показників у молоді, що займається систематично фізичною активністю у воді, та рекомендують плавання як ефективний засіб для покращення фізичного та психофункціонального стану </w:t>
      </w:r>
      <w:r w:rsidRPr="002923D6">
        <w:rPr>
          <w:sz w:val="24"/>
          <w:szCs w:val="24"/>
          <w:lang w:val="ru-RU"/>
        </w:rPr>
        <w:t>[8,9,10]</w:t>
      </w:r>
      <w:r w:rsidRPr="002923D6">
        <w:rPr>
          <w:sz w:val="24"/>
          <w:szCs w:val="24"/>
        </w:rPr>
        <w:t>.</w:t>
      </w:r>
    </w:p>
    <w:p w:rsidR="002923D6" w:rsidRPr="002923D6" w:rsidRDefault="002923D6" w:rsidP="002923D6">
      <w:pPr>
        <w:spacing w:after="0" w:line="240" w:lineRule="auto"/>
        <w:ind w:firstLine="720"/>
        <w:jc w:val="both"/>
        <w:outlineLvl w:val="2"/>
        <w:rPr>
          <w:b/>
          <w:bCs/>
          <w:sz w:val="24"/>
          <w:szCs w:val="24"/>
        </w:rPr>
      </w:pPr>
      <w:r w:rsidRPr="002923D6">
        <w:rPr>
          <w:sz w:val="24"/>
          <w:szCs w:val="24"/>
        </w:rPr>
        <w:t>Таким чином, результати нашого дослідження узгоджуються з існуючими літературними даними щодо позитивного впливу плавання на фізичні, психоемоційні й когнітивні показники, але водночас доповнюють наявні дані новими доказами щодо комплексного ефекту у студенток спеціальної медичної групи, що має важливе значення для педагогічної практики та розвитку програм навчання плаванню.</w:t>
      </w:r>
    </w:p>
    <w:p w:rsidR="002923D6" w:rsidRPr="002923D6" w:rsidRDefault="002923D6" w:rsidP="0004467E">
      <w:pPr>
        <w:spacing w:after="0" w:line="240" w:lineRule="auto"/>
        <w:ind w:firstLine="720"/>
        <w:jc w:val="both"/>
        <w:outlineLvl w:val="2"/>
        <w:rPr>
          <w:sz w:val="24"/>
          <w:szCs w:val="24"/>
        </w:rPr>
      </w:pPr>
      <w:r w:rsidRPr="002923D6">
        <w:rPr>
          <w:b/>
          <w:bCs/>
          <w:sz w:val="24"/>
          <w:szCs w:val="24"/>
        </w:rPr>
        <w:t>Висновки.</w:t>
      </w:r>
      <w:r w:rsidR="0004467E">
        <w:rPr>
          <w:b/>
          <w:bCs/>
          <w:sz w:val="24"/>
          <w:szCs w:val="24"/>
        </w:rPr>
        <w:t xml:space="preserve"> </w:t>
      </w:r>
      <w:r w:rsidRPr="002923D6">
        <w:rPr>
          <w:sz w:val="24"/>
          <w:szCs w:val="24"/>
        </w:rPr>
        <w:t>Після проведення педагогічного експерименту всі показники у студенток експериментальної групи покращилися, що свідчить про ефективність систематичних занять плаванням.</w:t>
      </w:r>
    </w:p>
    <w:p w:rsidR="002923D6" w:rsidRPr="002923D6" w:rsidRDefault="002923D6" w:rsidP="002923D6">
      <w:pPr>
        <w:spacing w:after="0" w:line="240" w:lineRule="auto"/>
        <w:ind w:firstLine="720"/>
        <w:jc w:val="both"/>
        <w:rPr>
          <w:sz w:val="24"/>
          <w:szCs w:val="24"/>
        </w:rPr>
      </w:pPr>
      <w:r w:rsidRPr="002923D6">
        <w:rPr>
          <w:sz w:val="24"/>
          <w:szCs w:val="24"/>
        </w:rPr>
        <w:t>Встановлено, що регулярні заняття плаванням сприяють покращенню функціонального стану серцево-судинної системи студенток, що підтверджується достовірним зниженням індексу Руф’є. Виявлено позитивний рекреаційний ефект занять плаванням, який проявляється у підвищенні самопочуття, зменшенні втомленості та покращенні психоемоційного стану студенток.</w:t>
      </w:r>
    </w:p>
    <w:p w:rsidR="002923D6" w:rsidRPr="002923D6" w:rsidRDefault="002923D6" w:rsidP="002923D6">
      <w:pPr>
        <w:spacing w:after="0" w:line="240" w:lineRule="auto"/>
        <w:ind w:firstLine="720"/>
        <w:jc w:val="both"/>
        <w:rPr>
          <w:rFonts w:eastAsia="Calibri"/>
          <w:sz w:val="24"/>
          <w:szCs w:val="24"/>
        </w:rPr>
      </w:pPr>
      <w:r w:rsidRPr="002923D6">
        <w:rPr>
          <w:sz w:val="24"/>
          <w:szCs w:val="24"/>
        </w:rPr>
        <w:t>Доведено, що систематичні заняття плаванням сприяють підвищенню когнітивної працездатності, що проявляється у зростанні швидкості переробки інформації, покращенні концентрації та стійкості уваги. Встановлено зменшення кількості помилок та підвищення розумової працездатності студенток експериментальної групи, що свідчить про позитивний освітній ефект занять плаванням.</w:t>
      </w:r>
      <w:r w:rsidRPr="002923D6">
        <w:rPr>
          <w:rFonts w:eastAsia="Calibri"/>
          <w:sz w:val="24"/>
          <w:szCs w:val="24"/>
        </w:rPr>
        <w:t xml:space="preserve"> Покращення концентрації уваги може позитивно впливати на ефективність навчальної діяльності студентів.</w:t>
      </w:r>
    </w:p>
    <w:p w:rsidR="002923D6" w:rsidRPr="002923D6" w:rsidRDefault="002923D6" w:rsidP="002923D6">
      <w:pPr>
        <w:spacing w:after="0" w:line="240" w:lineRule="auto"/>
        <w:ind w:firstLine="720"/>
        <w:jc w:val="both"/>
        <w:rPr>
          <w:sz w:val="24"/>
          <w:szCs w:val="24"/>
        </w:rPr>
      </w:pPr>
      <w:r w:rsidRPr="002923D6">
        <w:rPr>
          <w:sz w:val="24"/>
          <w:szCs w:val="24"/>
        </w:rPr>
        <w:t>Тренди нашого дослідження узгоджуються з міжнародними та українськими результатами про те, що плавання підвищує активність, бадьорість, настрій та сприяє відновленню психофізичного стану. Дані підтверджують, що рекреаційне плавання може ефективно використовуватися для покращення когнітивної працездатності, концентрації уваги та психоемоційного стану студентів.</w:t>
      </w:r>
    </w:p>
    <w:p w:rsidR="002923D6" w:rsidRPr="002923D6" w:rsidRDefault="002923D6" w:rsidP="002923D6">
      <w:pPr>
        <w:spacing w:after="0" w:line="240" w:lineRule="auto"/>
        <w:ind w:firstLine="720"/>
        <w:jc w:val="both"/>
        <w:rPr>
          <w:sz w:val="24"/>
          <w:szCs w:val="24"/>
        </w:rPr>
      </w:pPr>
      <w:r w:rsidRPr="002923D6">
        <w:rPr>
          <w:sz w:val="24"/>
          <w:szCs w:val="24"/>
        </w:rPr>
        <w:t>Отримані ефекти є статистично та практично значущими, особливо у показниках активності та бадьорості, що є ключовими для успішної навчальної та рекреаційної діяльності студентів.</w:t>
      </w:r>
    </w:p>
    <w:p w:rsidR="002923D6" w:rsidRPr="002923D6" w:rsidRDefault="002923D6" w:rsidP="002923D6">
      <w:pPr>
        <w:spacing w:after="0" w:line="240" w:lineRule="auto"/>
        <w:ind w:firstLine="720"/>
        <w:jc w:val="both"/>
        <w:rPr>
          <w:rFonts w:eastAsia="Calibri"/>
          <w:sz w:val="24"/>
          <w:szCs w:val="24"/>
        </w:rPr>
      </w:pPr>
      <w:r w:rsidRPr="002923D6">
        <w:rPr>
          <w:rFonts w:eastAsia="Calibri"/>
          <w:b/>
          <w:sz w:val="24"/>
          <w:szCs w:val="24"/>
          <w:shd w:val="clear" w:color="auto" w:fill="FFFFFF"/>
        </w:rPr>
        <w:t xml:space="preserve">Перспективи подальших досліджень. </w:t>
      </w:r>
      <w:r w:rsidRPr="002923D6">
        <w:rPr>
          <w:sz w:val="24"/>
          <w:szCs w:val="24"/>
        </w:rPr>
        <w:t xml:space="preserve">Відсутність даних про </w:t>
      </w:r>
      <w:r w:rsidRPr="002923D6">
        <w:rPr>
          <w:rFonts w:eastAsia="Calibri"/>
          <w:sz w:val="24"/>
          <w:szCs w:val="24"/>
        </w:rPr>
        <w:t>вплив регулярних занять плаванням на фізичний, психоемоційний та когнітивний стан студенток спеціальної медичної групи в умовах військового стану обґрунтовує подальші пошуки в цьому напрямі.</w:t>
      </w:r>
    </w:p>
    <w:p w:rsidR="002923D6" w:rsidRPr="002923D6" w:rsidRDefault="002923D6" w:rsidP="002923D6">
      <w:pPr>
        <w:spacing w:after="0" w:line="240" w:lineRule="auto"/>
        <w:ind w:firstLine="720"/>
        <w:jc w:val="both"/>
        <w:rPr>
          <w:rFonts w:eastAsia="Calibri"/>
          <w:bCs/>
          <w:sz w:val="24"/>
          <w:szCs w:val="24"/>
        </w:rPr>
      </w:pPr>
      <w:r w:rsidRPr="002923D6">
        <w:rPr>
          <w:rFonts w:eastAsia="Calibri"/>
          <w:b/>
          <w:sz w:val="24"/>
          <w:szCs w:val="24"/>
          <w:shd w:val="clear" w:color="auto" w:fill="FFFFFF"/>
        </w:rPr>
        <w:t xml:space="preserve">Конфлікт інтересів. </w:t>
      </w:r>
      <w:r w:rsidRPr="002923D6">
        <w:rPr>
          <w:rFonts w:eastAsia="Calibri"/>
          <w:bCs/>
          <w:sz w:val="24"/>
          <w:szCs w:val="24"/>
          <w:shd w:val="clear" w:color="auto" w:fill="FFFFFF"/>
        </w:rPr>
        <w:t>Не спостерігається ніяких конфліктів інтересів.</w:t>
      </w:r>
    </w:p>
    <w:p w:rsidR="002923D6" w:rsidRPr="002923D6" w:rsidRDefault="002923D6" w:rsidP="002923D6">
      <w:pPr>
        <w:spacing w:after="0" w:line="240" w:lineRule="auto"/>
        <w:ind w:firstLine="720"/>
        <w:jc w:val="both"/>
        <w:rPr>
          <w:rFonts w:eastAsia="Calibri"/>
          <w:sz w:val="24"/>
          <w:szCs w:val="24"/>
        </w:rPr>
      </w:pPr>
    </w:p>
    <w:p w:rsidR="002923D6" w:rsidRPr="002923D6" w:rsidRDefault="002923D6" w:rsidP="002923D6">
      <w:pPr>
        <w:spacing w:after="0" w:line="240" w:lineRule="auto"/>
        <w:jc w:val="center"/>
        <w:rPr>
          <w:rFonts w:eastAsia="Calibri"/>
          <w:b/>
          <w:bCs/>
          <w:sz w:val="20"/>
          <w:szCs w:val="20"/>
        </w:rPr>
      </w:pPr>
      <w:r w:rsidRPr="002923D6">
        <w:rPr>
          <w:rFonts w:eastAsia="Calibri"/>
          <w:b/>
          <w:bCs/>
          <w:sz w:val="20"/>
          <w:szCs w:val="20"/>
        </w:rPr>
        <w:t>Список використаних джерел</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 xml:space="preserve">Zulkifli AF, Bachtiar N. The impact of swimming on cognitive and mental health among pre-service physical education teachers. Adv Soc Sci Manag. 2025;3(2):126-40. </w:t>
      </w:r>
      <w:hyperlink r:id="rId130" w:history="1">
        <w:r w:rsidRPr="002923D6">
          <w:rPr>
            <w:color w:val="0563C1"/>
            <w:sz w:val="20"/>
            <w:szCs w:val="20"/>
            <w:u w:val="single"/>
          </w:rPr>
          <w:t>https://doi.org/10.63002/assm.32.912</w:t>
        </w:r>
      </w:hyperlink>
      <w:r w:rsidRPr="002923D6">
        <w:rPr>
          <w:sz w:val="20"/>
          <w:szCs w:val="20"/>
        </w:rPr>
        <w:t>.</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 xml:space="preserve">Silva LAD, Doyenart R, Salvan PH, Rodrigues W, Lopes JF, Gomes K, et al. Swimming training improves mental health parameters, cognition and motor coordination in children with attention deficit </w:t>
      </w:r>
      <w:r w:rsidRPr="002923D6">
        <w:rPr>
          <w:sz w:val="20"/>
          <w:szCs w:val="20"/>
        </w:rPr>
        <w:lastRenderedPageBreak/>
        <w:t xml:space="preserve">hyperactivity disorder. Int J Environ Health Res. 2020;30(5):584-92. </w:t>
      </w:r>
      <w:hyperlink r:id="rId131" w:history="1">
        <w:r w:rsidRPr="002923D6">
          <w:rPr>
            <w:color w:val="0563C1"/>
            <w:sz w:val="20"/>
            <w:szCs w:val="20"/>
            <w:u w:val="single"/>
          </w:rPr>
          <w:t>https://doi.org/10.1080/09603123.2019.1612041</w:t>
        </w:r>
      </w:hyperlink>
      <w:r w:rsidRPr="002923D6">
        <w:rPr>
          <w:sz w:val="20"/>
          <w:szCs w:val="20"/>
        </w:rPr>
        <w:t>.</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Шейко ЛВ, Баламутова НМ. Вплив оздоровчого плавання на фізичний розвиток та функціональний стан осіб 17–20 років. Основи побудови тренувального процесу в циклічних та екстремальних видах спорту. 2020;4:103-11.</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 xml:space="preserve">Tang Z, Wang Y, Liu J, Liu Y. Effects of aquatic exercise on mood and anxiety symptoms: a systematic review and meta-analysis. Front Psychiatry. 2022;13:1051551. </w:t>
      </w:r>
      <w:hyperlink r:id="rId132" w:history="1">
        <w:r w:rsidRPr="002923D6">
          <w:rPr>
            <w:color w:val="0563C1"/>
            <w:sz w:val="20"/>
            <w:szCs w:val="20"/>
            <w:u w:val="single"/>
          </w:rPr>
          <w:t>https://doi.org/10.3389/fpsyt.2022.1051551</w:t>
        </w:r>
      </w:hyperlink>
      <w:r w:rsidRPr="002923D6">
        <w:rPr>
          <w:sz w:val="20"/>
          <w:szCs w:val="20"/>
        </w:rPr>
        <w:t>.</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 xml:space="preserve">Shoemaker LN, Wilson LC, Lucas SJE, Machado L, Thomas KN, Cotter JD. Swimming-related effects on cerebrovascular and cognitive function. Physiol Rep. 2019;7(20):e14247. </w:t>
      </w:r>
      <w:hyperlink r:id="rId133" w:history="1">
        <w:r w:rsidRPr="002923D6">
          <w:rPr>
            <w:color w:val="0563C1"/>
            <w:sz w:val="20"/>
            <w:szCs w:val="20"/>
            <w:u w:val="single"/>
          </w:rPr>
          <w:t>https://doi.org/10.14814/phy2.14247</w:t>
        </w:r>
      </w:hyperlink>
      <w:r w:rsidRPr="002923D6">
        <w:rPr>
          <w:sz w:val="20"/>
          <w:szCs w:val="20"/>
        </w:rPr>
        <w:t>.</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 xml:space="preserve">Loprinzi P. The effects of aquatic exercise on cognitive function: a systematic review. OBM Integr Complement Med. 2019;4:1-11. </w:t>
      </w:r>
      <w:r w:rsidRPr="002923D6">
        <w:rPr>
          <w:sz w:val="20"/>
          <w:szCs w:val="20"/>
          <w:shd w:val="clear" w:color="auto" w:fill="FFFFFF"/>
        </w:rPr>
        <w:t>DOI:</w:t>
      </w:r>
      <w:hyperlink r:id="rId134" w:tgtFrame="_blank" w:history="1">
        <w:r w:rsidRPr="002923D6">
          <w:rPr>
            <w:color w:val="0563C1"/>
            <w:sz w:val="20"/>
            <w:szCs w:val="20"/>
            <w:u w:val="single"/>
            <w:bdr w:val="none" w:sz="0" w:space="0" w:color="auto" w:frame="1"/>
            <w:shd w:val="clear" w:color="auto" w:fill="FFFFFF"/>
          </w:rPr>
          <w:t>10.21926/obm.icm.1901018</w:t>
        </w:r>
      </w:hyperlink>
      <w:r w:rsidRPr="002923D6">
        <w:rPr>
          <w:sz w:val="20"/>
          <w:szCs w:val="20"/>
        </w:rPr>
        <w:t>.</w:t>
      </w:r>
    </w:p>
    <w:p w:rsidR="002923D6" w:rsidRPr="002923D6" w:rsidRDefault="002923D6" w:rsidP="002923D6">
      <w:pPr>
        <w:numPr>
          <w:ilvl w:val="0"/>
          <w:numId w:val="12"/>
        </w:numPr>
        <w:spacing w:after="0" w:line="240" w:lineRule="auto"/>
        <w:ind w:left="0" w:firstLine="0"/>
        <w:jc w:val="both"/>
        <w:rPr>
          <w:sz w:val="20"/>
          <w:szCs w:val="20"/>
        </w:rPr>
      </w:pPr>
      <w:r w:rsidRPr="002923D6">
        <w:rPr>
          <w:sz w:val="20"/>
          <w:szCs w:val="20"/>
        </w:rPr>
        <w:t xml:space="preserve">Митчик ОП. Вплив плавання на фізичний стан студентів закладів вищої освіти. Академічні студії. Серія Педагогіка. 2024;(4):36-41. </w:t>
      </w:r>
      <w:hyperlink r:id="rId135" w:history="1">
        <w:r w:rsidRPr="002923D6">
          <w:rPr>
            <w:color w:val="0563C1"/>
            <w:sz w:val="20"/>
            <w:szCs w:val="20"/>
            <w:u w:val="single"/>
          </w:rPr>
          <w:t>https://doi.org/10.52726/as.pedagogy/2024.4.6</w:t>
        </w:r>
      </w:hyperlink>
      <w:r w:rsidRPr="002923D6">
        <w:rPr>
          <w:sz w:val="20"/>
          <w:szCs w:val="20"/>
        </w:rPr>
        <w:t>.</w:t>
      </w:r>
    </w:p>
    <w:p w:rsidR="002923D6" w:rsidRPr="002923D6" w:rsidRDefault="002923D6" w:rsidP="002923D6">
      <w:pPr>
        <w:numPr>
          <w:ilvl w:val="0"/>
          <w:numId w:val="12"/>
        </w:numPr>
        <w:spacing w:before="100" w:beforeAutospacing="1" w:after="0" w:afterAutospacing="1" w:line="240" w:lineRule="auto"/>
        <w:ind w:left="0" w:firstLine="0"/>
        <w:jc w:val="both"/>
        <w:rPr>
          <w:sz w:val="20"/>
          <w:szCs w:val="20"/>
        </w:rPr>
      </w:pPr>
      <w:bookmarkStart w:id="49" w:name="_Hlk228805871"/>
      <w:r w:rsidRPr="002923D6">
        <w:rPr>
          <w:sz w:val="20"/>
          <w:szCs w:val="20"/>
        </w:rPr>
        <w:t>Garkusha S.V Current trends in the health of children and young people in learning environments Pedagogics, psychology, medical-biological problems of physical education and sport. 2013;10:7-12. DOI: 10.6084/m9.figshare.775315</w:t>
      </w:r>
      <w:r w:rsidRPr="002923D6">
        <w:rPr>
          <w:sz w:val="20"/>
          <w:szCs w:val="20"/>
          <w:lang w:val="en-US"/>
        </w:rPr>
        <w:t>.</w:t>
      </w:r>
      <w:r w:rsidRPr="002923D6">
        <w:rPr>
          <w:sz w:val="20"/>
          <w:szCs w:val="20"/>
        </w:rPr>
        <w:t xml:space="preserve">  </w:t>
      </w:r>
    </w:p>
    <w:p w:rsidR="002923D6" w:rsidRPr="002923D6" w:rsidRDefault="002923D6" w:rsidP="002923D6">
      <w:pPr>
        <w:numPr>
          <w:ilvl w:val="0"/>
          <w:numId w:val="12"/>
        </w:numPr>
        <w:spacing w:before="100" w:beforeAutospacing="1" w:after="0" w:afterAutospacing="1" w:line="240" w:lineRule="auto"/>
        <w:ind w:left="0" w:firstLine="0"/>
        <w:jc w:val="both"/>
        <w:rPr>
          <w:sz w:val="20"/>
          <w:szCs w:val="20"/>
        </w:rPr>
      </w:pPr>
      <w:r w:rsidRPr="002923D6">
        <w:rPr>
          <w:sz w:val="20"/>
          <w:szCs w:val="20"/>
        </w:rPr>
        <w:t xml:space="preserve">Лаврентьєва, О. (2025). Інноваційні підходи до організації адаптивного фізичного виховання для учнів з особливими освітніми потребами. Адаптивне управління: теорія та практика. Серія Педагогіка, 20 (39). </w:t>
      </w:r>
      <w:hyperlink r:id="rId136" w:history="1">
        <w:r w:rsidRPr="002923D6">
          <w:rPr>
            <w:color w:val="0563C1"/>
            <w:sz w:val="20"/>
            <w:szCs w:val="20"/>
            <w:u w:val="single"/>
          </w:rPr>
          <w:t>https://doi.org/10.33296/2707-0255-20(39)-13</w:t>
        </w:r>
      </w:hyperlink>
      <w:r w:rsidRPr="002923D6">
        <w:rPr>
          <w:sz w:val="20"/>
          <w:szCs w:val="20"/>
          <w:lang w:val="ru-RU"/>
        </w:rPr>
        <w:t>.</w:t>
      </w:r>
    </w:p>
    <w:p w:rsidR="002923D6" w:rsidRPr="002923D6" w:rsidRDefault="002923D6" w:rsidP="002923D6">
      <w:pPr>
        <w:numPr>
          <w:ilvl w:val="0"/>
          <w:numId w:val="12"/>
        </w:numPr>
        <w:spacing w:after="0" w:line="240" w:lineRule="auto"/>
        <w:ind w:left="0" w:firstLine="0"/>
        <w:jc w:val="both"/>
        <w:rPr>
          <w:rFonts w:eastAsia="Calibri"/>
          <w:sz w:val="20"/>
          <w:szCs w:val="20"/>
        </w:rPr>
      </w:pPr>
      <w:r w:rsidRPr="002923D6">
        <w:rPr>
          <w:rFonts w:eastAsia="Calibri"/>
          <w:sz w:val="20"/>
          <w:szCs w:val="20"/>
        </w:rPr>
        <w:t xml:space="preserve">Божок, О., та Курилюк, С. (2025). Сучасні інноваційні підходи до організації фізкультурно-оздоровчої діяльності у вищих навчальних закладах України. Проблеми освіти, 1(102), 340-53. </w:t>
      </w:r>
      <w:hyperlink r:id="rId137" w:history="1">
        <w:r w:rsidRPr="002923D6">
          <w:rPr>
            <w:rFonts w:eastAsia="Calibri"/>
            <w:color w:val="0563C1"/>
            <w:sz w:val="20"/>
            <w:szCs w:val="20"/>
            <w:u w:val="single"/>
          </w:rPr>
          <w:t>https://doi.org/10.52256/2710-3986.1-102.2025.23</w:t>
        </w:r>
      </w:hyperlink>
    </w:p>
    <w:bookmarkEnd w:id="49"/>
    <w:p w:rsidR="002923D6" w:rsidRPr="002923D6" w:rsidRDefault="002923D6" w:rsidP="002923D6">
      <w:pPr>
        <w:spacing w:after="0" w:line="240" w:lineRule="auto"/>
        <w:jc w:val="both"/>
        <w:rPr>
          <w:sz w:val="20"/>
          <w:szCs w:val="20"/>
        </w:rPr>
      </w:pPr>
    </w:p>
    <w:p w:rsidR="002923D6" w:rsidRPr="002923D6" w:rsidRDefault="002923D6" w:rsidP="002923D6">
      <w:pPr>
        <w:spacing w:after="0" w:line="240" w:lineRule="auto"/>
        <w:jc w:val="center"/>
        <w:rPr>
          <w:b/>
          <w:bCs/>
          <w:sz w:val="20"/>
          <w:szCs w:val="20"/>
        </w:rPr>
      </w:pPr>
      <w:r w:rsidRPr="002923D6">
        <w:rPr>
          <w:b/>
          <w:bCs/>
          <w:sz w:val="20"/>
          <w:szCs w:val="20"/>
          <w:shd w:val="clear" w:color="auto" w:fill="FFFFFF"/>
        </w:rPr>
        <w:t>References</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 xml:space="preserve">Zulkifli AF, Bachtiar N. The impact of swimming on cognitive and mental health among pre-service physical education teachers. Adv Soc Sci Manag. 2025;3(2):126-40. </w:t>
      </w:r>
      <w:hyperlink r:id="rId138" w:history="1">
        <w:r w:rsidRPr="002923D6">
          <w:rPr>
            <w:color w:val="0563C1"/>
            <w:sz w:val="20"/>
            <w:szCs w:val="20"/>
            <w:u w:val="single"/>
            <w:lang w:val="en-GB"/>
          </w:rPr>
          <w:t>https://doi.org/10.63002/assm.32.912</w:t>
        </w:r>
      </w:hyperlink>
      <w:r w:rsidRPr="002923D6">
        <w:rPr>
          <w:sz w:val="20"/>
          <w:szCs w:val="20"/>
          <w:lang w:val="en-GB"/>
        </w:rPr>
        <w:t>.</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 xml:space="preserve">Silva LAD, Doyenart R, Salvan PH, Rodrigues W, Lopes JF, Gomes K, et al. Swimming training improves mental health parameters, cognition and motor coordination in children with attention deficit hyperactivity disorder. Int J Environ Health Res. 2020;30(5):584-92. </w:t>
      </w:r>
      <w:hyperlink r:id="rId139" w:history="1">
        <w:r w:rsidRPr="002923D6">
          <w:rPr>
            <w:color w:val="0563C1"/>
            <w:sz w:val="20"/>
            <w:szCs w:val="20"/>
            <w:u w:val="single"/>
            <w:lang w:val="en-GB"/>
          </w:rPr>
          <w:t>https://doi.org/10.1080/09603123.2019.1612041</w:t>
        </w:r>
      </w:hyperlink>
      <w:r w:rsidRPr="002923D6">
        <w:rPr>
          <w:sz w:val="20"/>
          <w:szCs w:val="20"/>
          <w:lang w:val="en-GB"/>
        </w:rPr>
        <w:t>.</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Sheiko LV, Balamutova NM. Vplyv ozdorovchoho plavannia na fizychnyi rozvytok ta funktsionalnyi stan osib 17–20 rokiv (Influence of recreational swimming on the physical development and functional state of persons aged 17–20 years). Osnovy pobudovy trenuvalnoho protsesu v tsyklichnykh ta ekstremalnykh vydakh sportu. 2020;4:103-11.</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 xml:space="preserve">Tang Z, Wang Y, Liu J, Liu Y. Effects of aquatic exercise on mood and anxiety symptoms: a systematic review and meta-analysis. Front Psychiatry. 2022;13:1051551. </w:t>
      </w:r>
      <w:hyperlink r:id="rId140" w:history="1">
        <w:r w:rsidRPr="002923D6">
          <w:rPr>
            <w:color w:val="0563C1"/>
            <w:sz w:val="20"/>
            <w:szCs w:val="20"/>
            <w:u w:val="single"/>
            <w:lang w:val="en-GB"/>
          </w:rPr>
          <w:t>https://doi.org/10.3389/fpsyt.2022.1051551</w:t>
        </w:r>
      </w:hyperlink>
      <w:r w:rsidRPr="002923D6">
        <w:rPr>
          <w:sz w:val="20"/>
          <w:szCs w:val="20"/>
          <w:lang w:val="en-GB"/>
        </w:rPr>
        <w:t>.</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 xml:space="preserve">Shoemaker LN, Wilson LC, Lucas SJE, Machado L, Thomas KN, Cotter JD. Swimming-related effects on cerebrovascular and cognitive function. Physiol Rep. 2019;7(20):e14247. </w:t>
      </w:r>
      <w:hyperlink r:id="rId141" w:history="1">
        <w:r w:rsidRPr="002923D6">
          <w:rPr>
            <w:color w:val="0563C1"/>
            <w:sz w:val="20"/>
            <w:szCs w:val="20"/>
            <w:u w:val="single"/>
            <w:lang w:val="en-GB"/>
          </w:rPr>
          <w:t>https://doi.org/10.14814/phy2.14247</w:t>
        </w:r>
      </w:hyperlink>
      <w:r w:rsidRPr="002923D6">
        <w:rPr>
          <w:sz w:val="20"/>
          <w:szCs w:val="20"/>
          <w:lang w:val="en-GB"/>
        </w:rPr>
        <w:t>.</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 xml:space="preserve">Loprinzi P. The effects of aquatic exercise on cognitive function: a systematic review. OBM Integr Complement Med. 2019;4:1-11. </w:t>
      </w:r>
      <w:r w:rsidRPr="002923D6">
        <w:rPr>
          <w:sz w:val="20"/>
          <w:szCs w:val="20"/>
          <w:shd w:val="clear" w:color="auto" w:fill="FFFFFF"/>
          <w:lang w:val="en-GB"/>
        </w:rPr>
        <w:t>DOI:</w:t>
      </w:r>
      <w:hyperlink r:id="rId142" w:tgtFrame="_blank" w:history="1">
        <w:r w:rsidRPr="002923D6">
          <w:rPr>
            <w:color w:val="0563C1"/>
            <w:sz w:val="20"/>
            <w:szCs w:val="20"/>
            <w:u w:val="single"/>
            <w:bdr w:val="none" w:sz="0" w:space="0" w:color="auto" w:frame="1"/>
            <w:shd w:val="clear" w:color="auto" w:fill="FFFFFF"/>
            <w:lang w:val="en-GB"/>
          </w:rPr>
          <w:t>10.21926/obm.icm.1901018</w:t>
        </w:r>
      </w:hyperlink>
      <w:r w:rsidRPr="002923D6">
        <w:rPr>
          <w:sz w:val="20"/>
          <w:szCs w:val="20"/>
          <w:lang w:val="en-GB"/>
        </w:rPr>
        <w:t>.</w:t>
      </w:r>
    </w:p>
    <w:p w:rsidR="002923D6" w:rsidRPr="002923D6" w:rsidRDefault="002923D6" w:rsidP="002923D6">
      <w:pPr>
        <w:numPr>
          <w:ilvl w:val="1"/>
          <w:numId w:val="13"/>
        </w:numPr>
        <w:spacing w:after="0" w:line="240" w:lineRule="auto"/>
        <w:ind w:left="0" w:firstLine="0"/>
        <w:jc w:val="both"/>
        <w:rPr>
          <w:sz w:val="20"/>
          <w:szCs w:val="20"/>
          <w:lang w:val="en-GB"/>
        </w:rPr>
      </w:pPr>
      <w:r w:rsidRPr="002923D6">
        <w:rPr>
          <w:sz w:val="20"/>
          <w:szCs w:val="20"/>
          <w:lang w:val="en-GB"/>
        </w:rPr>
        <w:t xml:space="preserve">Mytchyk OP. Vplyv plavannia na fizychnyi stan studentiv zakladiv vyshchoi osvity (Influence of swimming on the physical condition of higher education students). Akademichni studii. Seriia Pedahohika. 2024;(4):36-41. </w:t>
      </w:r>
      <w:hyperlink r:id="rId143" w:history="1">
        <w:r w:rsidRPr="002923D6">
          <w:rPr>
            <w:color w:val="0563C1"/>
            <w:sz w:val="20"/>
            <w:szCs w:val="20"/>
            <w:u w:val="single"/>
            <w:lang w:val="en-GB"/>
          </w:rPr>
          <w:t>https://doi.org/10.52726/as.pedagogy/2024.4.6</w:t>
        </w:r>
      </w:hyperlink>
      <w:r w:rsidRPr="002923D6">
        <w:rPr>
          <w:sz w:val="20"/>
          <w:szCs w:val="20"/>
          <w:lang w:val="en-GB"/>
        </w:rPr>
        <w:t>.</w:t>
      </w:r>
      <w:bookmarkEnd w:id="45"/>
    </w:p>
    <w:p w:rsidR="002923D6" w:rsidRPr="002923D6" w:rsidRDefault="002923D6" w:rsidP="002923D6">
      <w:pPr>
        <w:spacing w:after="0" w:line="240" w:lineRule="auto"/>
        <w:jc w:val="both"/>
        <w:rPr>
          <w:sz w:val="20"/>
          <w:szCs w:val="20"/>
          <w:lang w:val="en-GB"/>
        </w:rPr>
      </w:pPr>
      <w:r w:rsidRPr="002923D6">
        <w:rPr>
          <w:sz w:val="20"/>
          <w:szCs w:val="20"/>
          <w:lang w:val="en-GB"/>
        </w:rPr>
        <w:t xml:space="preserve">8. Garkusha S.V Current trends in the health of children and young people in learning environments Pedagogics, psychology, medical-biological problems of physical education and sport. 2013;10:7-12. doi: 10.6084/m9.figshare.775315  </w:t>
      </w:r>
    </w:p>
    <w:p w:rsidR="002923D6" w:rsidRPr="002923D6" w:rsidRDefault="002923D6" w:rsidP="002923D6">
      <w:pPr>
        <w:spacing w:after="0" w:line="240" w:lineRule="auto"/>
        <w:jc w:val="both"/>
        <w:rPr>
          <w:sz w:val="20"/>
          <w:szCs w:val="20"/>
          <w:lang w:val="en-GB"/>
        </w:rPr>
      </w:pPr>
      <w:r w:rsidRPr="002923D6">
        <w:rPr>
          <w:sz w:val="20"/>
          <w:szCs w:val="20"/>
          <w:lang w:val="en-GB"/>
        </w:rPr>
        <w:t>9. Lavrentieva O. Innovatsiini pidkhody do orhanizatsii adaptyvnogo fizichnogo vykhovannia dlia uchniv z osoblyvymy osvitnymi potrebамы. Adaptive upravlinnia: teoriia ta praktyka. Seriia Pedahohika . 2025; 20 (39). DOI:10.33296/2707-0255-20(39)-13.</w:t>
      </w:r>
    </w:p>
    <w:p w:rsidR="002923D6" w:rsidRPr="002923D6" w:rsidRDefault="002923D6" w:rsidP="002923D6">
      <w:pPr>
        <w:spacing w:after="0" w:line="240" w:lineRule="auto"/>
        <w:jc w:val="both"/>
        <w:rPr>
          <w:sz w:val="20"/>
          <w:szCs w:val="20"/>
          <w:lang w:val="en-GB"/>
        </w:rPr>
      </w:pPr>
      <w:r w:rsidRPr="002923D6">
        <w:rPr>
          <w:sz w:val="20"/>
          <w:szCs w:val="20"/>
          <w:lang w:val="en-GB"/>
        </w:rPr>
        <w:t xml:space="preserve">10. Bozhok O, Kuryliuk S. Suchasni innovatsiini pidkhody do orhanizatsii fizkulturno-ozdorovchoi diialnosti u vyshchykh navchalnykh zakladakh Ukrainy. Problemy osvity, 2025, 1(102), 340-53. </w:t>
      </w:r>
      <w:hyperlink r:id="rId144" w:history="1">
        <w:r w:rsidRPr="002923D6">
          <w:rPr>
            <w:color w:val="0563C1"/>
            <w:sz w:val="20"/>
            <w:szCs w:val="20"/>
            <w:u w:val="single"/>
            <w:lang w:val="en-GB"/>
          </w:rPr>
          <w:t>https://doi.org/10.52256/2710-3986.1-102.2025.23</w:t>
        </w:r>
      </w:hyperlink>
      <w:r w:rsidRPr="002923D6">
        <w:rPr>
          <w:sz w:val="20"/>
          <w:szCs w:val="20"/>
          <w:lang w:val="en-GB"/>
        </w:rPr>
        <w:t>.</w:t>
      </w:r>
    </w:p>
    <w:p w:rsidR="002923D6" w:rsidRPr="002923D6" w:rsidRDefault="002923D6" w:rsidP="002923D6">
      <w:pPr>
        <w:autoSpaceDE w:val="0"/>
        <w:autoSpaceDN w:val="0"/>
        <w:adjustRightInd w:val="0"/>
        <w:spacing w:after="0" w:line="240" w:lineRule="auto"/>
        <w:ind w:left="1069"/>
        <w:jc w:val="both"/>
        <w:rPr>
          <w:rFonts w:eastAsia="Calibri"/>
          <w:sz w:val="20"/>
          <w:szCs w:val="20"/>
        </w:rPr>
      </w:pPr>
    </w:p>
    <w:tbl>
      <w:tblPr>
        <w:tblStyle w:val="4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2923D6" w:rsidRPr="002923D6" w:rsidTr="002923D6">
        <w:tc>
          <w:tcPr>
            <w:tcW w:w="9286" w:type="dxa"/>
            <w:shd w:val="clear" w:color="auto" w:fill="BFBFBF"/>
          </w:tcPr>
          <w:p w:rsidR="002923D6" w:rsidRPr="002923D6" w:rsidRDefault="002923D6" w:rsidP="002923D6">
            <w:pPr>
              <w:spacing w:before="100" w:after="100" w:line="240" w:lineRule="auto"/>
              <w:jc w:val="both"/>
              <w:rPr>
                <w:b/>
                <w:sz w:val="20"/>
                <w:szCs w:val="20"/>
              </w:rPr>
            </w:pPr>
            <w:r w:rsidRPr="002923D6">
              <w:rPr>
                <w:b/>
                <w:sz w:val="20"/>
                <w:szCs w:val="20"/>
              </w:rPr>
              <w:t>Цитування на</w:t>
            </w:r>
            <w:r w:rsidRPr="002923D6">
              <w:rPr>
                <w:b/>
                <w:spacing w:val="2"/>
                <w:sz w:val="20"/>
                <w:szCs w:val="20"/>
              </w:rPr>
              <w:t xml:space="preserve"> </w:t>
            </w:r>
            <w:r w:rsidRPr="002923D6">
              <w:rPr>
                <w:b/>
                <w:sz w:val="20"/>
                <w:szCs w:val="20"/>
              </w:rPr>
              <w:t>цю статтю:</w:t>
            </w:r>
          </w:p>
        </w:tc>
      </w:tr>
      <w:tr w:rsidR="002923D6" w:rsidRPr="002923D6" w:rsidTr="00C07F42">
        <w:tc>
          <w:tcPr>
            <w:tcW w:w="9286" w:type="dxa"/>
          </w:tcPr>
          <w:p w:rsidR="002923D6" w:rsidRPr="002923D6" w:rsidRDefault="002923D6" w:rsidP="002923D6">
            <w:pPr>
              <w:spacing w:before="100" w:after="100" w:line="240" w:lineRule="auto"/>
              <w:jc w:val="both"/>
              <w:rPr>
                <w:i/>
                <w:sz w:val="20"/>
                <w:szCs w:val="20"/>
                <w:lang w:val="ru-RU"/>
              </w:rPr>
            </w:pPr>
            <w:r w:rsidRPr="002923D6">
              <w:rPr>
                <w:sz w:val="20"/>
                <w:szCs w:val="20"/>
              </w:rPr>
              <w:t>Боднар ІР</w:t>
            </w:r>
            <w:r w:rsidRPr="002923D6">
              <w:rPr>
                <w:kern w:val="1"/>
                <w:sz w:val="20"/>
                <w:szCs w:val="20"/>
                <w:shd w:val="clear" w:color="auto" w:fill="FFFFFF"/>
                <w:lang w:val="ru-RU" w:bidi="hi-IN"/>
              </w:rPr>
              <w:t>, Курчаба ТМ, Тимчак ЯВ</w:t>
            </w:r>
            <w:r w:rsidRPr="002923D6">
              <w:rPr>
                <w:kern w:val="1"/>
                <w:sz w:val="20"/>
                <w:szCs w:val="20"/>
                <w:lang w:val="ru-RU" w:bidi="hi-IN"/>
              </w:rPr>
              <w:t xml:space="preserve">. </w:t>
            </w:r>
            <w:r w:rsidRPr="002923D6">
              <w:rPr>
                <w:bCs/>
                <w:sz w:val="20"/>
                <w:szCs w:val="20"/>
              </w:rPr>
              <w:t>Рекреаційний, оздоровчий та освітній ефект занять плаванням у студенток скерованих до спеціальної медичної групи</w:t>
            </w:r>
            <w:r w:rsidRPr="002923D6">
              <w:rPr>
                <w:kern w:val="1"/>
                <w:sz w:val="20"/>
                <w:szCs w:val="20"/>
                <w:lang w:val="ru-RU" w:bidi="hi-IN"/>
              </w:rPr>
              <w:t xml:space="preserve">. </w:t>
            </w:r>
            <w:r w:rsidRPr="002923D6">
              <w:rPr>
                <w:sz w:val="20"/>
                <w:szCs w:val="20"/>
              </w:rPr>
              <w:t xml:space="preserve">Вісник Прикарпатського університету. </w:t>
            </w:r>
            <w:r w:rsidRPr="002923D6">
              <w:rPr>
                <w:kern w:val="1"/>
                <w:sz w:val="20"/>
                <w:szCs w:val="20"/>
                <w:lang w:val="ru-RU" w:bidi="hi-IN"/>
              </w:rPr>
              <w:t xml:space="preserve">Серія: Фізична </w:t>
            </w:r>
            <w:r w:rsidRPr="002923D6">
              <w:rPr>
                <w:spacing w:val="-1"/>
                <w:kern w:val="1"/>
                <w:sz w:val="20"/>
                <w:szCs w:val="20"/>
                <w:lang w:val="ru-RU" w:bidi="hi-IN"/>
              </w:rPr>
              <w:t>культура.</w:t>
            </w:r>
            <w:r w:rsidRPr="002923D6">
              <w:rPr>
                <w:spacing w:val="5"/>
                <w:kern w:val="1"/>
                <w:sz w:val="20"/>
                <w:szCs w:val="20"/>
                <w:lang w:val="ru-RU" w:bidi="hi-IN"/>
              </w:rPr>
              <w:t xml:space="preserve"> </w:t>
            </w:r>
            <w:r w:rsidRPr="002923D6">
              <w:rPr>
                <w:spacing w:val="1"/>
                <w:kern w:val="1"/>
                <w:sz w:val="20"/>
                <w:szCs w:val="20"/>
                <w:lang w:val="ru-RU" w:bidi="hi-IN"/>
              </w:rPr>
              <w:t>202</w:t>
            </w:r>
            <w:r w:rsidRPr="002923D6">
              <w:rPr>
                <w:spacing w:val="1"/>
                <w:kern w:val="1"/>
                <w:sz w:val="20"/>
                <w:szCs w:val="20"/>
                <w:lang w:bidi="hi-IN"/>
              </w:rPr>
              <w:t>6</w:t>
            </w:r>
            <w:r w:rsidRPr="002923D6">
              <w:rPr>
                <w:kern w:val="1"/>
                <w:sz w:val="20"/>
                <w:szCs w:val="20"/>
                <w:lang w:val="ru-RU" w:bidi="hi-IN"/>
              </w:rPr>
              <w:t xml:space="preserve"> </w:t>
            </w:r>
            <w:r w:rsidRPr="002923D6">
              <w:rPr>
                <w:spacing w:val="-1"/>
                <w:kern w:val="1"/>
                <w:sz w:val="20"/>
                <w:szCs w:val="20"/>
                <w:lang w:bidi="hi-IN"/>
              </w:rPr>
              <w:t>Трав</w:t>
            </w:r>
            <w:r w:rsidRPr="002923D6">
              <w:rPr>
                <w:spacing w:val="-1"/>
                <w:kern w:val="1"/>
                <w:sz w:val="20"/>
                <w:szCs w:val="20"/>
                <w:lang w:val="ru-RU" w:bidi="hi-IN"/>
              </w:rPr>
              <w:t>ень 0</w:t>
            </w:r>
            <w:r w:rsidRPr="002923D6">
              <w:rPr>
                <w:spacing w:val="-1"/>
                <w:kern w:val="1"/>
                <w:sz w:val="20"/>
                <w:szCs w:val="20"/>
                <w:lang w:bidi="hi-IN"/>
              </w:rPr>
              <w:t>5</w:t>
            </w:r>
            <w:r w:rsidRPr="002923D6">
              <w:rPr>
                <w:spacing w:val="1"/>
                <w:kern w:val="1"/>
                <w:sz w:val="20"/>
                <w:szCs w:val="20"/>
                <w:lang w:val="ru-RU" w:bidi="hi-IN"/>
              </w:rPr>
              <w:t>;</w:t>
            </w:r>
            <w:r w:rsidRPr="002923D6">
              <w:rPr>
                <w:spacing w:val="-1"/>
                <w:kern w:val="1"/>
                <w:sz w:val="20"/>
                <w:szCs w:val="20"/>
                <w:lang w:val="ru-RU" w:bidi="hi-IN"/>
              </w:rPr>
              <w:t xml:space="preserve"> </w:t>
            </w:r>
            <w:r w:rsidRPr="002923D6">
              <w:rPr>
                <w:spacing w:val="1"/>
                <w:kern w:val="1"/>
                <w:sz w:val="20"/>
                <w:szCs w:val="20"/>
                <w:lang w:val="ru-RU" w:bidi="hi-IN"/>
              </w:rPr>
              <w:t>4</w:t>
            </w:r>
            <w:r w:rsidRPr="002923D6">
              <w:rPr>
                <w:spacing w:val="1"/>
                <w:kern w:val="1"/>
                <w:sz w:val="20"/>
                <w:szCs w:val="20"/>
                <w:lang w:bidi="hi-IN"/>
              </w:rPr>
              <w:t>6</w:t>
            </w:r>
            <w:r w:rsidRPr="002923D6">
              <w:rPr>
                <w:spacing w:val="1"/>
                <w:kern w:val="1"/>
                <w:sz w:val="20"/>
                <w:szCs w:val="20"/>
                <w:lang w:val="ru-RU" w:bidi="hi-IN"/>
              </w:rPr>
              <w:t>: 39</w:t>
            </w:r>
            <w:r w:rsidRPr="002923D6">
              <w:rPr>
                <w:kern w:val="1"/>
                <w:sz w:val="20"/>
                <w:szCs w:val="20"/>
                <w:lang w:val="ru-RU" w:bidi="hi-IN"/>
              </w:rPr>
              <w:t>-46</w:t>
            </w:r>
            <w:r w:rsidRPr="002923D6">
              <w:rPr>
                <w:sz w:val="20"/>
                <w:szCs w:val="20"/>
                <w:lang w:val="ru-RU"/>
              </w:rPr>
              <w:t>.</w:t>
            </w:r>
          </w:p>
        </w:tc>
      </w:tr>
    </w:tbl>
    <w:p w:rsidR="002923D6" w:rsidRPr="002923D6" w:rsidRDefault="002923D6" w:rsidP="002923D6">
      <w:pPr>
        <w:autoSpaceDE w:val="0"/>
        <w:autoSpaceDN w:val="0"/>
        <w:adjustRightInd w:val="0"/>
        <w:spacing w:after="0" w:line="240" w:lineRule="auto"/>
        <w:ind w:left="709"/>
        <w:jc w:val="both"/>
        <w:rPr>
          <w:rFonts w:eastAsia="Calibri"/>
          <w:sz w:val="20"/>
          <w:szCs w:val="20"/>
        </w:rPr>
      </w:pPr>
    </w:p>
    <w:p w:rsidR="002923D6" w:rsidRPr="002923D6" w:rsidRDefault="002923D6" w:rsidP="002923D6">
      <w:pPr>
        <w:autoSpaceDE w:val="0"/>
        <w:autoSpaceDN w:val="0"/>
        <w:adjustRightInd w:val="0"/>
        <w:spacing w:after="0" w:line="240" w:lineRule="auto"/>
        <w:ind w:left="709"/>
        <w:jc w:val="both"/>
        <w:rPr>
          <w:rFonts w:eastAsia="Calibri"/>
          <w:sz w:val="20"/>
          <w:szCs w:val="20"/>
        </w:rPr>
      </w:pPr>
    </w:p>
    <w:tbl>
      <w:tblPr>
        <w:tblStyle w:val="4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070"/>
      </w:tblGrid>
      <w:tr w:rsidR="002923D6" w:rsidRPr="002923D6" w:rsidTr="002923D6">
        <w:tc>
          <w:tcPr>
            <w:tcW w:w="9070" w:type="dxa"/>
            <w:shd w:val="clear" w:color="auto" w:fill="BFBFBF"/>
          </w:tcPr>
          <w:p w:rsidR="002923D6" w:rsidRPr="002923D6" w:rsidRDefault="002923D6" w:rsidP="002923D6">
            <w:pPr>
              <w:spacing w:after="0" w:line="240" w:lineRule="auto"/>
              <w:jc w:val="both"/>
              <w:rPr>
                <w:b/>
                <w:sz w:val="20"/>
                <w:szCs w:val="20"/>
              </w:rPr>
            </w:pPr>
            <w:r w:rsidRPr="002923D6">
              <w:rPr>
                <w:b/>
                <w:sz w:val="20"/>
                <w:szCs w:val="20"/>
              </w:rPr>
              <w:t>Відомості про авторів</w:t>
            </w:r>
          </w:p>
        </w:tc>
      </w:tr>
      <w:tr w:rsidR="002923D6" w:rsidRPr="002923D6" w:rsidTr="00C07F42">
        <w:tc>
          <w:tcPr>
            <w:tcW w:w="9070" w:type="dxa"/>
          </w:tcPr>
          <w:p w:rsidR="002923D6" w:rsidRPr="002923D6" w:rsidRDefault="002923D6" w:rsidP="002923D6">
            <w:pPr>
              <w:spacing w:after="0" w:line="240" w:lineRule="auto"/>
              <w:rPr>
                <w:rFonts w:eastAsia="Calibri"/>
                <w:sz w:val="20"/>
                <w:szCs w:val="20"/>
              </w:rPr>
            </w:pPr>
            <w:r w:rsidRPr="002923D6">
              <w:rPr>
                <w:rFonts w:eastAsia="Calibri"/>
                <w:b/>
                <w:i/>
                <w:sz w:val="20"/>
                <w:szCs w:val="20"/>
              </w:rPr>
              <w:t>Боднар Іванна Романівна</w:t>
            </w:r>
            <w:r w:rsidRPr="002923D6">
              <w:rPr>
                <w:rFonts w:eastAsia="Calibri"/>
                <w:sz w:val="20"/>
                <w:szCs w:val="20"/>
              </w:rPr>
              <w:t xml:space="preserve"> - </w:t>
            </w:r>
            <w:r w:rsidRPr="002923D6">
              <w:rPr>
                <w:rFonts w:eastAsia="Calibri"/>
                <w:color w:val="474747"/>
                <w:sz w:val="20"/>
                <w:szCs w:val="20"/>
                <w:shd w:val="clear" w:color="auto" w:fill="FFFFFF"/>
              </w:rPr>
              <w:t>доктор наук з фізичного виховання і спорту</w:t>
            </w:r>
            <w:r w:rsidRPr="002923D6">
              <w:rPr>
                <w:rFonts w:eastAsia="Calibri"/>
                <w:sz w:val="20"/>
                <w:szCs w:val="20"/>
              </w:rPr>
              <w:t xml:space="preserve">, </w:t>
            </w:r>
            <w:r w:rsidRPr="002923D6">
              <w:rPr>
                <w:rFonts w:eastAsia="Calibri"/>
                <w:color w:val="474747"/>
                <w:sz w:val="20"/>
                <w:szCs w:val="20"/>
                <w:shd w:val="clear" w:color="auto" w:fill="FFFFFF"/>
              </w:rPr>
              <w:t>професор,</w:t>
            </w:r>
            <w:r w:rsidRPr="002923D6">
              <w:rPr>
                <w:rFonts w:eastAsia="Calibri"/>
                <w:sz w:val="20"/>
                <w:szCs w:val="20"/>
              </w:rPr>
              <w:t xml:space="preserve"> завідувач кафедри теорії і методики фізичної культури, Львівський державний університет фізичної культури імені Івана Боберського</w:t>
            </w:r>
          </w:p>
          <w:p w:rsidR="002923D6" w:rsidRPr="002923D6" w:rsidRDefault="003D6B4F" w:rsidP="002923D6">
            <w:pPr>
              <w:spacing w:after="0" w:line="240" w:lineRule="auto"/>
              <w:jc w:val="both"/>
              <w:rPr>
                <w:rFonts w:eastAsia="Calibri"/>
                <w:sz w:val="20"/>
                <w:szCs w:val="20"/>
              </w:rPr>
            </w:pPr>
            <w:hyperlink r:id="rId145" w:history="1">
              <w:r w:rsidR="002923D6" w:rsidRPr="009C4798">
                <w:rPr>
                  <w:rFonts w:eastAsia="Calibri"/>
                  <w:sz w:val="20"/>
                  <w:szCs w:val="20"/>
                </w:rPr>
                <w:t>https://orcid.org/</w:t>
              </w:r>
              <w:r w:rsidR="002923D6" w:rsidRPr="002923D6">
                <w:rPr>
                  <w:rFonts w:eastAsia="Calibri"/>
                  <w:sz w:val="20"/>
                  <w:szCs w:val="20"/>
                </w:rPr>
                <w:t>0000-0002-7083-6271</w:t>
              </w:r>
            </w:hyperlink>
          </w:p>
          <w:p w:rsidR="002923D6" w:rsidRPr="002923D6" w:rsidRDefault="002923D6" w:rsidP="002923D6">
            <w:pPr>
              <w:spacing w:after="0" w:line="240" w:lineRule="auto"/>
              <w:jc w:val="both"/>
              <w:rPr>
                <w:rFonts w:eastAsia="Calibri"/>
                <w:i/>
                <w:sz w:val="20"/>
                <w:szCs w:val="20"/>
              </w:rPr>
            </w:pPr>
            <w:r w:rsidRPr="002923D6">
              <w:rPr>
                <w:rFonts w:eastAsia="Calibri"/>
                <w:sz w:val="20"/>
                <w:szCs w:val="20"/>
              </w:rPr>
              <w:t>e-mail: ivannabodnar@ukr.net</w:t>
            </w:r>
          </w:p>
        </w:tc>
      </w:tr>
      <w:tr w:rsidR="002923D6" w:rsidRPr="002923D6" w:rsidTr="00C07F42">
        <w:tc>
          <w:tcPr>
            <w:tcW w:w="9070" w:type="dxa"/>
          </w:tcPr>
          <w:p w:rsidR="002923D6" w:rsidRPr="002923D6" w:rsidRDefault="002923D6" w:rsidP="002923D6">
            <w:pPr>
              <w:spacing w:after="0" w:line="240" w:lineRule="auto"/>
              <w:rPr>
                <w:rFonts w:eastAsia="Calibri"/>
                <w:sz w:val="20"/>
                <w:szCs w:val="20"/>
              </w:rPr>
            </w:pPr>
            <w:r w:rsidRPr="002923D6">
              <w:rPr>
                <w:rFonts w:eastAsia="Calibri"/>
                <w:b/>
                <w:i/>
                <w:sz w:val="20"/>
                <w:szCs w:val="20"/>
              </w:rPr>
              <w:t>Курчаба</w:t>
            </w:r>
            <w:r w:rsidRPr="002923D6">
              <w:rPr>
                <w:rFonts w:eastAsia="Calibri"/>
                <w:b/>
                <w:sz w:val="20"/>
                <w:szCs w:val="20"/>
              </w:rPr>
              <w:t xml:space="preserve"> </w:t>
            </w:r>
            <w:r w:rsidRPr="002923D6">
              <w:rPr>
                <w:rFonts w:eastAsia="Calibri"/>
                <w:b/>
                <w:bCs/>
                <w:i/>
                <w:sz w:val="20"/>
                <w:szCs w:val="20"/>
                <w:shd w:val="clear" w:color="auto" w:fill="FFFFFF"/>
              </w:rPr>
              <w:t>Тетяна Миколаївна</w:t>
            </w:r>
            <w:r w:rsidRPr="002923D6">
              <w:rPr>
                <w:rFonts w:eastAsia="Calibri"/>
                <w:sz w:val="20"/>
                <w:szCs w:val="20"/>
              </w:rPr>
              <w:t xml:space="preserve"> - </w:t>
            </w:r>
            <w:r w:rsidRPr="002923D6">
              <w:rPr>
                <w:sz w:val="20"/>
                <w:szCs w:val="20"/>
                <w:lang w:eastAsia="uk-UA"/>
              </w:rPr>
              <w:t xml:space="preserve">кандидат наук з фізичного виховання і спорту, доцент, </w:t>
            </w:r>
            <w:r w:rsidRPr="002923D6">
              <w:rPr>
                <w:rFonts w:eastAsia="Calibri"/>
                <w:sz w:val="20"/>
                <w:szCs w:val="20"/>
              </w:rPr>
              <w:t>завідувач кафедри гуманітарних дисциплін та олімпійської освіти, Львівський державний університет фізичної культури імені Івана Боберського</w:t>
            </w:r>
          </w:p>
          <w:p w:rsidR="002923D6" w:rsidRPr="002923D6" w:rsidRDefault="002923D6" w:rsidP="002923D6">
            <w:pPr>
              <w:spacing w:after="0" w:line="240" w:lineRule="auto"/>
              <w:rPr>
                <w:rFonts w:eastAsia="Calibri"/>
                <w:sz w:val="20"/>
                <w:szCs w:val="20"/>
              </w:rPr>
            </w:pPr>
            <w:r w:rsidRPr="002923D6">
              <w:rPr>
                <w:rFonts w:eastAsia="Calibri"/>
                <w:sz w:val="20"/>
                <w:szCs w:val="20"/>
              </w:rPr>
              <w:t>https://orcid.org/0000-0001-7039-0292</w:t>
            </w:r>
          </w:p>
          <w:p w:rsidR="002923D6" w:rsidRPr="002923D6" w:rsidRDefault="002923D6" w:rsidP="002923D6">
            <w:pPr>
              <w:spacing w:after="0" w:line="240" w:lineRule="auto"/>
              <w:rPr>
                <w:rFonts w:eastAsia="Calibri"/>
                <w:kern w:val="1"/>
                <w:sz w:val="20"/>
                <w:szCs w:val="20"/>
                <w:lang w:bidi="hi-IN"/>
              </w:rPr>
            </w:pPr>
            <w:r w:rsidRPr="002923D6">
              <w:rPr>
                <w:rFonts w:eastAsia="Calibri"/>
                <w:sz w:val="20"/>
                <w:szCs w:val="20"/>
              </w:rPr>
              <w:t>e-mail: kurchat@ukr.net</w:t>
            </w:r>
          </w:p>
        </w:tc>
      </w:tr>
      <w:tr w:rsidR="002923D6" w:rsidRPr="002923D6" w:rsidTr="00C07F42">
        <w:tc>
          <w:tcPr>
            <w:tcW w:w="9070" w:type="dxa"/>
          </w:tcPr>
          <w:p w:rsidR="002923D6" w:rsidRPr="002923D6" w:rsidRDefault="002923D6" w:rsidP="002923D6">
            <w:pPr>
              <w:spacing w:after="0" w:line="240" w:lineRule="auto"/>
              <w:rPr>
                <w:rFonts w:eastAsia="Calibri"/>
                <w:sz w:val="20"/>
                <w:szCs w:val="20"/>
              </w:rPr>
            </w:pPr>
            <w:r w:rsidRPr="002923D6">
              <w:rPr>
                <w:rFonts w:eastAsia="Calibri"/>
                <w:b/>
                <w:i/>
                <w:sz w:val="20"/>
                <w:szCs w:val="20"/>
                <w:lang w:eastAsia="uk-UA"/>
              </w:rPr>
              <w:t>Тимчак Ярослав Володимирович</w:t>
            </w:r>
            <w:r w:rsidRPr="002923D6">
              <w:rPr>
                <w:b/>
                <w:i/>
                <w:sz w:val="20"/>
                <w:szCs w:val="20"/>
                <w:lang w:eastAsia="uk-UA"/>
              </w:rPr>
              <w:t xml:space="preserve">- </w:t>
            </w:r>
            <w:r w:rsidRPr="002923D6">
              <w:rPr>
                <w:rFonts w:eastAsia="Calibri"/>
                <w:sz w:val="20"/>
                <w:szCs w:val="20"/>
                <w:lang w:eastAsia="uk-UA"/>
              </w:rPr>
              <w:t xml:space="preserve">кандидат наук з фізичного виховання і спорту, доцент </w:t>
            </w:r>
            <w:r w:rsidRPr="002923D6">
              <w:rPr>
                <w:rFonts w:eastAsia="Calibri"/>
                <w:sz w:val="20"/>
                <w:szCs w:val="20"/>
              </w:rPr>
              <w:t>Львівський державний університет фізичної культури імені Івана Боберського</w:t>
            </w:r>
          </w:p>
          <w:p w:rsidR="002923D6" w:rsidRPr="002923D6" w:rsidRDefault="003D6B4F" w:rsidP="002923D6">
            <w:pPr>
              <w:spacing w:after="0" w:line="240" w:lineRule="auto"/>
              <w:jc w:val="both"/>
              <w:rPr>
                <w:rFonts w:eastAsia="SimSun"/>
                <w:sz w:val="20"/>
                <w:szCs w:val="20"/>
                <w:lang w:eastAsia="zh-CN"/>
              </w:rPr>
            </w:pPr>
            <w:hyperlink r:id="rId146" w:history="1">
              <w:r w:rsidR="002923D6" w:rsidRPr="009C4798">
                <w:rPr>
                  <w:rFonts w:eastAsia="SimSun"/>
                  <w:sz w:val="20"/>
                  <w:szCs w:val="20"/>
                  <w:lang w:val="en-US" w:eastAsia="zh-CN"/>
                </w:rPr>
                <w:t>https</w:t>
              </w:r>
              <w:r w:rsidR="002923D6" w:rsidRPr="009C4798">
                <w:rPr>
                  <w:rFonts w:eastAsia="SimSun"/>
                  <w:sz w:val="20"/>
                  <w:szCs w:val="20"/>
                  <w:lang w:eastAsia="zh-CN"/>
                </w:rPr>
                <w:t>://</w:t>
              </w:r>
              <w:r w:rsidR="002923D6" w:rsidRPr="009C4798">
                <w:rPr>
                  <w:rFonts w:eastAsia="SimSun"/>
                  <w:sz w:val="20"/>
                  <w:szCs w:val="20"/>
                  <w:lang w:val="en-US" w:eastAsia="zh-CN"/>
                </w:rPr>
                <w:t>orcid</w:t>
              </w:r>
              <w:r w:rsidR="002923D6" w:rsidRPr="009C4798">
                <w:rPr>
                  <w:rFonts w:eastAsia="SimSun"/>
                  <w:sz w:val="20"/>
                  <w:szCs w:val="20"/>
                  <w:lang w:eastAsia="zh-CN"/>
                </w:rPr>
                <w:t>.</w:t>
              </w:r>
              <w:r w:rsidR="002923D6" w:rsidRPr="009C4798">
                <w:rPr>
                  <w:rFonts w:eastAsia="SimSun"/>
                  <w:sz w:val="20"/>
                  <w:szCs w:val="20"/>
                  <w:lang w:val="en-US" w:eastAsia="zh-CN"/>
                </w:rPr>
                <w:t>org</w:t>
              </w:r>
              <w:r w:rsidR="002923D6" w:rsidRPr="009C4798">
                <w:rPr>
                  <w:rFonts w:eastAsia="SimSun"/>
                  <w:sz w:val="20"/>
                  <w:szCs w:val="20"/>
                  <w:lang w:eastAsia="zh-CN"/>
                </w:rPr>
                <w:t>/</w:t>
              </w:r>
              <w:r w:rsidR="002923D6" w:rsidRPr="002923D6">
                <w:rPr>
                  <w:sz w:val="20"/>
                  <w:szCs w:val="20"/>
                </w:rPr>
                <w:t>0009-0001-6932-4797</w:t>
              </w:r>
            </w:hyperlink>
          </w:p>
          <w:p w:rsidR="002923D6" w:rsidRPr="002923D6" w:rsidRDefault="002923D6" w:rsidP="002923D6">
            <w:pPr>
              <w:spacing w:after="0" w:line="240" w:lineRule="auto"/>
              <w:jc w:val="both"/>
              <w:rPr>
                <w:rFonts w:eastAsia="Calibri"/>
                <w:b/>
                <w:i/>
                <w:sz w:val="20"/>
                <w:szCs w:val="20"/>
              </w:rPr>
            </w:pPr>
            <w:r w:rsidRPr="002923D6">
              <w:rPr>
                <w:rFonts w:eastAsia="Calibri"/>
                <w:sz w:val="20"/>
                <w:szCs w:val="20"/>
              </w:rPr>
              <w:t>e-mail: tymchakj@ukr.net</w:t>
            </w:r>
          </w:p>
        </w:tc>
      </w:tr>
    </w:tbl>
    <w:p w:rsidR="002923D6" w:rsidRPr="002923D6" w:rsidRDefault="002923D6" w:rsidP="002923D6">
      <w:pPr>
        <w:spacing w:after="0" w:line="240" w:lineRule="auto"/>
        <w:ind w:left="3544"/>
        <w:jc w:val="both"/>
        <w:rPr>
          <w:rFonts w:eastAsia="Calibri"/>
          <w:sz w:val="20"/>
          <w:szCs w:val="20"/>
        </w:rPr>
      </w:pPr>
    </w:p>
    <w:p w:rsidR="002923D6" w:rsidRPr="002923D6" w:rsidRDefault="002923D6" w:rsidP="002923D6">
      <w:pPr>
        <w:spacing w:after="0" w:line="240" w:lineRule="auto"/>
        <w:ind w:left="3544"/>
        <w:jc w:val="both"/>
        <w:rPr>
          <w:rFonts w:eastAsia="Calibri"/>
          <w:sz w:val="20"/>
          <w:szCs w:val="20"/>
        </w:rPr>
      </w:pPr>
      <w:r w:rsidRPr="002923D6">
        <w:rPr>
          <w:rFonts w:eastAsia="Calibri"/>
          <w:sz w:val="20"/>
          <w:szCs w:val="20"/>
        </w:rPr>
        <w:t>Дата першого надходження статті до видання: 19.03.2026</w:t>
      </w:r>
    </w:p>
    <w:p w:rsidR="002923D6" w:rsidRPr="002923D6" w:rsidRDefault="002923D6" w:rsidP="002923D6">
      <w:pPr>
        <w:spacing w:after="0" w:line="240" w:lineRule="auto"/>
        <w:ind w:left="3544"/>
        <w:jc w:val="both"/>
        <w:rPr>
          <w:rFonts w:eastAsia="Calibri"/>
          <w:sz w:val="20"/>
          <w:szCs w:val="20"/>
        </w:rPr>
      </w:pPr>
      <w:r w:rsidRPr="002923D6">
        <w:rPr>
          <w:rFonts w:eastAsia="Calibri"/>
          <w:sz w:val="20"/>
          <w:szCs w:val="20"/>
        </w:rPr>
        <w:t>Дата прийняття статті до друку після рецензування: 05.04.2026</w:t>
      </w:r>
    </w:p>
    <w:p w:rsidR="002923D6" w:rsidRPr="002923D6" w:rsidRDefault="002923D6" w:rsidP="002923D6">
      <w:pPr>
        <w:spacing w:after="0" w:line="240" w:lineRule="auto"/>
        <w:ind w:left="3544"/>
        <w:jc w:val="both"/>
        <w:rPr>
          <w:rFonts w:eastAsia="Calibri"/>
          <w:sz w:val="20"/>
          <w:szCs w:val="20"/>
        </w:rPr>
      </w:pPr>
      <w:r w:rsidRPr="002923D6">
        <w:rPr>
          <w:rFonts w:eastAsia="Calibri"/>
          <w:sz w:val="20"/>
          <w:szCs w:val="20"/>
        </w:rPr>
        <w:t>Дата публікації (оприлюднення) статті: 30.04.2026</w:t>
      </w:r>
    </w:p>
    <w:p w:rsidR="002923D6" w:rsidRDefault="002923D6">
      <w:pPr>
        <w:spacing w:after="160" w:line="259" w:lineRule="auto"/>
        <w:rPr>
          <w:sz w:val="20"/>
          <w:szCs w:val="20"/>
          <w:lang w:eastAsia="uk-UA"/>
        </w:rPr>
      </w:pPr>
      <w:r>
        <w:rPr>
          <w:sz w:val="20"/>
          <w:szCs w:val="20"/>
          <w:lang w:eastAsia="uk-UA"/>
        </w:rPr>
        <w:br w:type="page"/>
      </w: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0E5F67" w:rsidRPr="000E5F67" w:rsidTr="000E5F67">
        <w:tc>
          <w:tcPr>
            <w:tcW w:w="3785" w:type="dxa"/>
          </w:tcPr>
          <w:p w:rsidR="000E5F67" w:rsidRPr="000E5F67" w:rsidRDefault="000E5F67" w:rsidP="000E5F67">
            <w:pPr>
              <w:spacing w:after="0" w:line="240" w:lineRule="auto"/>
              <w:ind w:firstLine="709"/>
              <w:jc w:val="both"/>
              <w:rPr>
                <w:b/>
                <w:sz w:val="20"/>
                <w:szCs w:val="20"/>
                <w:lang w:eastAsia="uk-UA"/>
              </w:rPr>
            </w:pPr>
            <w:bookmarkStart w:id="50" w:name="_Hlk211869715"/>
            <w:r w:rsidRPr="000E5F67">
              <w:rPr>
                <w:b/>
                <w:sz w:val="20"/>
                <w:szCs w:val="20"/>
                <w:lang w:eastAsia="uk-UA"/>
              </w:rPr>
              <w:lastRenderedPageBreak/>
              <w:t>УДК 373.5.016:796]:37.091.33</w:t>
            </w:r>
          </w:p>
          <w:p w:rsidR="000E5F67" w:rsidRPr="000E5F67" w:rsidRDefault="000E5F67" w:rsidP="000E5F67">
            <w:pPr>
              <w:spacing w:after="0" w:line="240" w:lineRule="auto"/>
              <w:ind w:firstLine="709"/>
              <w:jc w:val="both"/>
              <w:rPr>
                <w:b/>
                <w:sz w:val="20"/>
                <w:szCs w:val="20"/>
                <w:lang w:val="uk-UA" w:eastAsia="uk-UA"/>
              </w:rPr>
            </w:pPr>
            <w:r w:rsidRPr="000E5F67">
              <w:rPr>
                <w:b/>
                <w:sz w:val="20"/>
                <w:szCs w:val="20"/>
                <w:lang w:eastAsia="uk-UA"/>
              </w:rPr>
              <w:t xml:space="preserve">doi: </w:t>
            </w:r>
            <w:r w:rsidRPr="000E5F67">
              <w:rPr>
                <w:rFonts w:eastAsia="SimSun"/>
                <w:b/>
                <w:kern w:val="1"/>
                <w:sz w:val="20"/>
                <w:szCs w:val="20"/>
                <w:lang w:eastAsia="zh-CN" w:bidi="hi-IN"/>
              </w:rPr>
              <w:t>10.15330/fcult.4</w:t>
            </w:r>
            <w:r w:rsidRPr="000E5F67">
              <w:rPr>
                <w:rFonts w:eastAsia="SimSun"/>
                <w:b/>
                <w:kern w:val="1"/>
                <w:sz w:val="20"/>
                <w:szCs w:val="20"/>
                <w:lang w:val="uk-UA" w:eastAsia="zh-CN" w:bidi="hi-IN"/>
              </w:rPr>
              <w:t>7</w:t>
            </w:r>
            <w:r w:rsidRPr="000E5F67">
              <w:rPr>
                <w:rFonts w:eastAsia="SimSun"/>
                <w:b/>
                <w:kern w:val="1"/>
                <w:sz w:val="20"/>
                <w:szCs w:val="20"/>
                <w:lang w:eastAsia="zh-CN" w:bidi="hi-IN"/>
              </w:rPr>
              <w:t>-54</w:t>
            </w:r>
          </w:p>
        </w:tc>
        <w:tc>
          <w:tcPr>
            <w:tcW w:w="5501" w:type="dxa"/>
          </w:tcPr>
          <w:p w:rsidR="000E5F67" w:rsidRPr="000E5F67" w:rsidRDefault="000E5F67" w:rsidP="000E5F67">
            <w:pPr>
              <w:spacing w:after="0" w:line="240" w:lineRule="auto"/>
              <w:ind w:firstLine="709"/>
              <w:jc w:val="right"/>
              <w:rPr>
                <w:b/>
                <w:i/>
                <w:sz w:val="20"/>
                <w:szCs w:val="20"/>
                <w:lang w:eastAsia="uk-UA"/>
              </w:rPr>
            </w:pPr>
            <w:r w:rsidRPr="000E5F67">
              <w:rPr>
                <w:b/>
                <w:bCs/>
                <w:i/>
                <w:iCs/>
                <w:sz w:val="20"/>
                <w:szCs w:val="20"/>
              </w:rPr>
              <w:t>Володимир Омельяненко, Інна Омельяненко</w:t>
            </w:r>
          </w:p>
        </w:tc>
      </w:tr>
    </w:tbl>
    <w:p w:rsidR="000E5F67" w:rsidRPr="000E5F67" w:rsidRDefault="000E5F67" w:rsidP="000E5F67">
      <w:pPr>
        <w:spacing w:after="0" w:line="240" w:lineRule="auto"/>
        <w:ind w:firstLine="709"/>
        <w:jc w:val="both"/>
        <w:rPr>
          <w:rFonts w:eastAsia="Calibri" w:cs="Calibri"/>
          <w:kern w:val="2"/>
          <w:sz w:val="24"/>
          <w:szCs w:val="24"/>
        </w:rPr>
      </w:pPr>
    </w:p>
    <w:bookmarkEnd w:id="50"/>
    <w:p w:rsidR="000E5F67" w:rsidRPr="000E5F67" w:rsidRDefault="000E5F67" w:rsidP="000E5F67">
      <w:pPr>
        <w:spacing w:after="0" w:line="240" w:lineRule="auto"/>
        <w:jc w:val="center"/>
        <w:rPr>
          <w:rFonts w:eastAsia="Calibri" w:cs="Calibri"/>
          <w:b/>
          <w:bCs/>
          <w:kern w:val="2"/>
          <w:sz w:val="24"/>
          <w:szCs w:val="24"/>
        </w:rPr>
      </w:pPr>
      <w:r w:rsidRPr="000E5F67">
        <w:rPr>
          <w:rFonts w:eastAsia="Calibri" w:cs="Calibri"/>
          <w:b/>
          <w:bCs/>
          <w:kern w:val="2"/>
          <w:sz w:val="24"/>
          <w:szCs w:val="24"/>
        </w:rPr>
        <w:t>РОЛЬ УЧИТЕЛЯ ФІЗИЧНОЇ КУЛЬТУРИ У ДОЗУВАННІ ФІЗИЧНИХ НАВАНТАЖЕНЬ ЗДОБУВАЧІВ БАЗОВОЇ СЕРЕДНЬОЇ ОСВІТИ</w:t>
      </w:r>
    </w:p>
    <w:p w:rsidR="000E5F67" w:rsidRPr="000E5F67" w:rsidRDefault="000E5F67" w:rsidP="000E5F67">
      <w:pPr>
        <w:spacing w:after="0" w:line="240" w:lineRule="auto"/>
        <w:ind w:firstLine="709"/>
        <w:jc w:val="both"/>
        <w:rPr>
          <w:rFonts w:eastAsia="Calibri" w:cs="Calibri"/>
          <w:kern w:val="2"/>
          <w:sz w:val="24"/>
          <w:szCs w:val="24"/>
          <w:lang w:val="ru-RU"/>
        </w:rPr>
      </w:pPr>
    </w:p>
    <w:p w:rsidR="000E5F67" w:rsidRPr="000E5F67" w:rsidRDefault="000E5F67" w:rsidP="000E5F67">
      <w:pPr>
        <w:spacing w:after="0" w:line="240" w:lineRule="auto"/>
        <w:ind w:firstLine="709"/>
        <w:jc w:val="both"/>
        <w:rPr>
          <w:rFonts w:eastAsia="Calibri" w:cs="Calibri"/>
          <w:kern w:val="2"/>
          <w:sz w:val="20"/>
          <w:szCs w:val="20"/>
        </w:rPr>
      </w:pPr>
      <w:r w:rsidRPr="000E5F67">
        <w:rPr>
          <w:rFonts w:eastAsia="Calibri" w:cs="Calibri"/>
          <w:b/>
          <w:kern w:val="2"/>
          <w:sz w:val="20"/>
          <w:szCs w:val="20"/>
        </w:rPr>
        <w:t>Анотація</w:t>
      </w:r>
      <w:r w:rsidRPr="000E5F67">
        <w:rPr>
          <w:rFonts w:eastAsia="Calibri" w:cs="Calibri"/>
          <w:kern w:val="2"/>
          <w:sz w:val="20"/>
          <w:szCs w:val="20"/>
        </w:rPr>
        <w:t xml:space="preserve">. </w:t>
      </w:r>
      <w:r w:rsidRPr="000E5F67">
        <w:rPr>
          <w:rFonts w:eastAsia="Calibri" w:cs="Calibri"/>
          <w:b/>
          <w:bCs/>
          <w:kern w:val="2"/>
          <w:sz w:val="20"/>
          <w:szCs w:val="20"/>
        </w:rPr>
        <w:t>Метою</w:t>
      </w:r>
      <w:r w:rsidRPr="000E5F67">
        <w:rPr>
          <w:rFonts w:eastAsia="Calibri" w:cs="Calibri"/>
          <w:kern w:val="2"/>
          <w:sz w:val="20"/>
          <w:szCs w:val="20"/>
        </w:rPr>
        <w:t xml:space="preserve"> дослідження є теоретичне обґрунтування ролі вчителя фізичної культури у процесі дозування фізичного навантаження здобувачів загальної середньої освіти. </w:t>
      </w:r>
      <w:r w:rsidRPr="000E5F67">
        <w:rPr>
          <w:rFonts w:eastAsia="Calibri" w:cs="Calibri"/>
          <w:b/>
          <w:bCs/>
          <w:kern w:val="2"/>
          <w:sz w:val="20"/>
          <w:szCs w:val="20"/>
        </w:rPr>
        <w:t>Методи дослідження</w:t>
      </w:r>
      <w:r w:rsidRPr="000E5F67">
        <w:rPr>
          <w:rFonts w:eastAsia="Calibri" w:cs="Calibri"/>
          <w:kern w:val="2"/>
          <w:sz w:val="20"/>
          <w:szCs w:val="20"/>
        </w:rPr>
        <w:t xml:space="preserve">: теоретичний аналіз та узагальнення науково-методичних джерел і матеріалів мережі «Інтернет», порівняльний метод для обґрунтування висновків щодо застосування традиційних та сучасних підходів до дозування фізичних навантажень на уроках фізичної культури. </w:t>
      </w:r>
      <w:r w:rsidRPr="000E5F67">
        <w:rPr>
          <w:rFonts w:eastAsia="Calibri" w:cs="Calibri"/>
          <w:b/>
          <w:bCs/>
          <w:kern w:val="2"/>
          <w:sz w:val="20"/>
          <w:szCs w:val="20"/>
        </w:rPr>
        <w:t>Результати дослідження.</w:t>
      </w:r>
      <w:r w:rsidRPr="000E5F67">
        <w:rPr>
          <w:rFonts w:eastAsia="Calibri" w:cs="Calibri"/>
          <w:kern w:val="2"/>
          <w:sz w:val="20"/>
          <w:szCs w:val="20"/>
        </w:rPr>
        <w:t xml:space="preserve"> Здійснено аналіз нормативно-правових документів, в яких визначені загальні вимоги до створення у закладах загальної середньої освіти здоровʼязбережувального освітнього середовища. За результатами аналізу спеціальної навчально-методичної літератури встановлено, що формування такого середовища пов’язане з контролем фізичного навантаження з боку вчителя фізичної культури. Визначено, що покладання функції дозування фізичного навантаження на здобувачів базової освіти є необґрунтованим з огляду на зміст Державного стандарту, який не передбачає формування такого вміння як обов’язкового результату навчання. </w:t>
      </w:r>
    </w:p>
    <w:p w:rsidR="000E5F67" w:rsidRPr="000E5F67" w:rsidRDefault="000E5F67" w:rsidP="000E5F67">
      <w:pPr>
        <w:spacing w:after="0" w:line="240" w:lineRule="auto"/>
        <w:ind w:firstLine="709"/>
        <w:jc w:val="both"/>
        <w:rPr>
          <w:rFonts w:eastAsia="Calibri" w:cs="Calibri"/>
          <w:kern w:val="2"/>
          <w:sz w:val="20"/>
          <w:szCs w:val="20"/>
        </w:rPr>
      </w:pPr>
      <w:r w:rsidRPr="000E5F67">
        <w:rPr>
          <w:rFonts w:eastAsia="Calibri" w:cs="Calibri"/>
          <w:b/>
          <w:bCs/>
          <w:kern w:val="2"/>
          <w:sz w:val="20"/>
          <w:szCs w:val="20"/>
        </w:rPr>
        <w:t>Ключові слова.</w:t>
      </w:r>
      <w:r w:rsidRPr="000E5F67">
        <w:rPr>
          <w:rFonts w:eastAsia="Calibri" w:cs="Calibri"/>
          <w:kern w:val="2"/>
          <w:sz w:val="20"/>
          <w:szCs w:val="20"/>
        </w:rPr>
        <w:t xml:space="preserve"> Здобувачі базової середньої освіти, фізичне виховання, дозування фізичного навантаження, методичні підходи, вчитель фізичної культури.</w:t>
      </w:r>
    </w:p>
    <w:p w:rsidR="000E5F67" w:rsidRPr="000E5F67" w:rsidRDefault="000E5F67" w:rsidP="000E5F67">
      <w:pPr>
        <w:spacing w:after="0" w:line="240" w:lineRule="auto"/>
        <w:ind w:firstLine="709"/>
        <w:jc w:val="both"/>
        <w:rPr>
          <w:rFonts w:eastAsia="Calibri" w:cs="Calibri"/>
          <w:kern w:val="2"/>
          <w:sz w:val="20"/>
          <w:szCs w:val="20"/>
        </w:rPr>
      </w:pPr>
    </w:p>
    <w:p w:rsidR="000E5F67" w:rsidRPr="000E5F67" w:rsidRDefault="000E5F67" w:rsidP="000E5F67">
      <w:pPr>
        <w:spacing w:after="0" w:line="240" w:lineRule="auto"/>
        <w:ind w:firstLine="709"/>
        <w:jc w:val="both"/>
        <w:rPr>
          <w:rFonts w:eastAsia="Calibri" w:cs="Calibri"/>
          <w:kern w:val="2"/>
          <w:sz w:val="20"/>
          <w:szCs w:val="20"/>
          <w:lang w:val="en-US"/>
        </w:rPr>
      </w:pPr>
      <w:r w:rsidRPr="000E5F67">
        <w:rPr>
          <w:rFonts w:eastAsia="Calibri" w:cs="Calibri"/>
          <w:b/>
          <w:bCs/>
          <w:kern w:val="2"/>
          <w:sz w:val="20"/>
          <w:szCs w:val="20"/>
        </w:rPr>
        <w:t>Summary.</w:t>
      </w:r>
      <w:r w:rsidRPr="000E5F67">
        <w:rPr>
          <w:rFonts w:eastAsia="Calibri" w:cs="Calibri"/>
          <w:kern w:val="2"/>
          <w:sz w:val="20"/>
          <w:szCs w:val="20"/>
        </w:rPr>
        <w:t xml:space="preserve"> </w:t>
      </w:r>
      <w:r w:rsidRPr="000E5F67">
        <w:rPr>
          <w:rFonts w:eastAsia="Calibri" w:cs="Calibri"/>
          <w:kern w:val="2"/>
          <w:sz w:val="20"/>
          <w:szCs w:val="20"/>
          <w:lang w:val="en-US"/>
        </w:rPr>
        <w:t xml:space="preserve">The article presents a comparative analysis of traditional and modern methodological approaches to dosing physical activity in physical education classes. It has been determined that traditional approaches oblige the teacher to regulate physical load, whereas modern approaches recommend that students regulate it independently. </w:t>
      </w:r>
      <w:r w:rsidRPr="000E5F67">
        <w:rPr>
          <w:rFonts w:eastAsia="Calibri" w:cs="Calibri"/>
          <w:b/>
          <w:bCs/>
          <w:kern w:val="2"/>
          <w:sz w:val="20"/>
          <w:szCs w:val="20"/>
          <w:lang w:val="en-US"/>
        </w:rPr>
        <w:t>The aim of the study</w:t>
      </w:r>
      <w:r w:rsidRPr="000E5F67">
        <w:rPr>
          <w:rFonts w:eastAsia="Calibri" w:cs="Calibri"/>
          <w:kern w:val="2"/>
          <w:sz w:val="20"/>
          <w:szCs w:val="20"/>
          <w:lang w:val="en-US"/>
        </w:rPr>
        <w:t xml:space="preserve"> is to provide a theoretical justification of the role of the physical education teacher in the process of dosing physical activity for learners in general secondary education.</w:t>
      </w:r>
    </w:p>
    <w:p w:rsidR="000E5F67" w:rsidRPr="000E5F67" w:rsidRDefault="000E5F67" w:rsidP="000E5F67">
      <w:pPr>
        <w:spacing w:after="0" w:line="240" w:lineRule="auto"/>
        <w:ind w:firstLine="709"/>
        <w:jc w:val="both"/>
        <w:rPr>
          <w:rFonts w:eastAsia="Calibri" w:cs="Calibri"/>
          <w:kern w:val="2"/>
          <w:sz w:val="20"/>
          <w:szCs w:val="20"/>
          <w:lang w:val="en-US"/>
        </w:rPr>
      </w:pPr>
      <w:r w:rsidRPr="000E5F67">
        <w:rPr>
          <w:rFonts w:eastAsia="Calibri" w:cs="Calibri"/>
          <w:b/>
          <w:bCs/>
          <w:kern w:val="2"/>
          <w:sz w:val="20"/>
          <w:szCs w:val="20"/>
          <w:lang w:val="en-US"/>
        </w:rPr>
        <w:t>Research results.</w:t>
      </w:r>
      <w:r w:rsidRPr="000E5F67">
        <w:rPr>
          <w:rFonts w:eastAsia="Calibri" w:cs="Calibri"/>
          <w:kern w:val="2"/>
          <w:sz w:val="20"/>
          <w:szCs w:val="20"/>
          <w:lang w:val="en-US"/>
        </w:rPr>
        <w:t xml:space="preserve"> An analysis of regulatory and legal documents has been carried out, identifying general requirements for creating a health-preserving educational environment in general secondary education institutions. It has been established that pedagogical control of students’ physical activity is regulated at several levels of normative and legal support: legislative (laws of Ukraine), which define general requirements for safety and health protection of learners in basic secondary education; medical (orders of the Ministry of Health), which regulate admission and grouping of students and define the responsibilities of physical education teachers regarding control of students’ physical activity; and pedagogical (state standards, curricula, and recommendations of the Ministry of Education and Science), which determine mandatory requirements for the content, scope, and learning outcomes.</w:t>
      </w:r>
      <w:r w:rsidRPr="000E5F67">
        <w:rPr>
          <w:rFonts w:eastAsia="Calibri" w:cs="Calibri"/>
          <w:kern w:val="2"/>
          <w:sz w:val="20"/>
          <w:szCs w:val="20"/>
        </w:rPr>
        <w:t xml:space="preserve"> </w:t>
      </w:r>
      <w:r w:rsidRPr="000E5F67">
        <w:rPr>
          <w:rFonts w:eastAsia="Calibri" w:cs="Calibri"/>
          <w:kern w:val="2"/>
          <w:sz w:val="20"/>
          <w:szCs w:val="20"/>
          <w:lang w:val="en-US"/>
        </w:rPr>
        <w:t>The creation of a health-preserving educational environment, as shown by the analysis of specialized educational and methodological literature, is associated with teacher control over physical activity. It has been proven that dosing physical activity is a complex pedagogical process that requires physical education teachers to possess health-preserving competence, as well as knowledge of scientifically grounded determination of the volume, intensity, duration, and frequency of physical exercises in accordance with the age, sex, individual, and medical characteristics of students.</w:t>
      </w:r>
      <w:r w:rsidRPr="000E5F67">
        <w:rPr>
          <w:rFonts w:eastAsia="Calibri" w:cs="Calibri"/>
          <w:kern w:val="2"/>
          <w:sz w:val="20"/>
          <w:szCs w:val="20"/>
        </w:rPr>
        <w:t xml:space="preserve"> </w:t>
      </w:r>
      <w:r w:rsidRPr="000E5F67">
        <w:rPr>
          <w:rFonts w:eastAsia="Calibri" w:cs="Calibri"/>
          <w:kern w:val="2"/>
          <w:sz w:val="20"/>
          <w:szCs w:val="20"/>
          <w:lang w:val="en-US"/>
        </w:rPr>
        <w:t>It has been determined that assigning the function of regulating physical activity to learners in basic secondary education is unjustified.</w:t>
      </w:r>
    </w:p>
    <w:p w:rsidR="000E5F67" w:rsidRPr="000E5F67" w:rsidRDefault="000E5F67" w:rsidP="000E5F67">
      <w:pPr>
        <w:spacing w:after="0" w:line="240" w:lineRule="auto"/>
        <w:ind w:firstLine="709"/>
        <w:jc w:val="both"/>
        <w:rPr>
          <w:rFonts w:eastAsia="Calibri" w:cs="Calibri"/>
          <w:kern w:val="2"/>
          <w:sz w:val="20"/>
          <w:szCs w:val="20"/>
          <w:lang w:val="en-US"/>
        </w:rPr>
      </w:pPr>
      <w:r w:rsidRPr="000E5F67">
        <w:rPr>
          <w:rFonts w:eastAsia="Calibri" w:cs="Calibri"/>
          <w:b/>
          <w:bCs/>
          <w:kern w:val="2"/>
          <w:sz w:val="20"/>
          <w:szCs w:val="20"/>
          <w:lang w:val="en-US"/>
        </w:rPr>
        <w:t>Keywords</w:t>
      </w:r>
      <w:r w:rsidRPr="000E5F67">
        <w:rPr>
          <w:rFonts w:eastAsia="Calibri" w:cs="Calibri"/>
          <w:kern w:val="2"/>
          <w:sz w:val="20"/>
          <w:szCs w:val="20"/>
          <w:lang w:val="en-US"/>
        </w:rPr>
        <w:t>: learners in basic secondary education, physical education, dosing of physical activity, methodological approaches, physical education teacher.</w:t>
      </w:r>
    </w:p>
    <w:p w:rsidR="000E5F67" w:rsidRPr="000E5F67" w:rsidRDefault="000E5F67" w:rsidP="000E5F67">
      <w:pPr>
        <w:spacing w:after="0" w:line="240" w:lineRule="auto"/>
        <w:ind w:firstLine="709"/>
        <w:jc w:val="both"/>
        <w:rPr>
          <w:rFonts w:eastAsia="Calibri" w:cs="Calibri"/>
          <w:kern w:val="2"/>
          <w:sz w:val="24"/>
          <w:szCs w:val="24"/>
        </w:rPr>
      </w:pPr>
    </w:p>
    <w:p w:rsidR="000E5F67" w:rsidRPr="000E5F67" w:rsidRDefault="000E5F67" w:rsidP="000E5F67">
      <w:pPr>
        <w:spacing w:after="0" w:line="240" w:lineRule="auto"/>
        <w:ind w:firstLine="709"/>
        <w:jc w:val="both"/>
        <w:rPr>
          <w:rFonts w:eastAsia="Calibri" w:cs="Calibri"/>
          <w:kern w:val="2"/>
          <w:sz w:val="24"/>
          <w:szCs w:val="24"/>
        </w:rPr>
      </w:pPr>
      <w:bookmarkStart w:id="51" w:name="Постановка_проблеми"/>
      <w:bookmarkEnd w:id="51"/>
      <w:r w:rsidRPr="000E5F67">
        <w:rPr>
          <w:rFonts w:eastAsia="Calibri"/>
          <w:b/>
          <w:kern w:val="2"/>
          <w:sz w:val="24"/>
          <w:szCs w:val="24"/>
          <w:shd w:val="clear" w:color="auto" w:fill="FFFFFF"/>
        </w:rPr>
        <w:t>Постановка проблеми й аналіз результатів останніх досліджень</w:t>
      </w:r>
      <w:r w:rsidRPr="000E5F67">
        <w:rPr>
          <w:rFonts w:eastAsia="Calibri"/>
          <w:b/>
          <w:bCs/>
          <w:kern w:val="2"/>
          <w:sz w:val="24"/>
          <w:szCs w:val="24"/>
        </w:rPr>
        <w:t>.</w:t>
      </w:r>
      <w:r w:rsidRPr="000E5F67">
        <w:rPr>
          <w:rFonts w:eastAsia="Calibri" w:cs="Calibri"/>
          <w:kern w:val="2"/>
          <w:sz w:val="24"/>
          <w:szCs w:val="24"/>
        </w:rPr>
        <w:t xml:space="preserve"> Дозування фізичного навантаження розглядається як один з ключових методичних аспектів організації занять з фізичної культури в закладах загальної середньої освіти (ЗЗСО). Реалізація вчителем фізичної культури зазначеного підходу характеризується значною складністю, що зумовлено необхідністю поєднання, узгодження та застосування широкого спектра науково обґрунтованих знань як цілісної системи. Йдеться про знання параметрів фізичного навантаження (обсягу, інтенсивності, тривалості та кратності виконання фізичних вправ) відповідно до вікових, статевих, індивідуальних і медичних особливостей учнів/учениць, обґрунтування доцільності застосування в кожному конкретному випадку різних способів його дозування, а також уміння оцінювати реакцію організму на фізичне навантаження з метою подальшої корекції його параметрів. </w:t>
      </w:r>
    </w:p>
    <w:p w:rsidR="0004467E" w:rsidRDefault="0004467E" w:rsidP="0004467E">
      <w:pPr>
        <w:framePr w:w="9121" w:h="653" w:hRule="exact" w:wrap="auto" w:vAnchor="page" w:hAnchor="page" w:x="1419" w:y="15677"/>
        <w:spacing w:after="0" w:line="240" w:lineRule="auto"/>
        <w:ind w:left="33" w:right="-1" w:firstLine="109"/>
        <w:jc w:val="both"/>
        <w:rPr>
          <w:rFonts w:eastAsia="Calibri"/>
          <w:kern w:val="2"/>
          <w:sz w:val="20"/>
          <w:szCs w:val="20"/>
        </w:rPr>
      </w:pPr>
    </w:p>
    <w:p w:rsidR="000E5F67" w:rsidRPr="000E5F67" w:rsidRDefault="000E5F67" w:rsidP="0004467E">
      <w:pPr>
        <w:framePr w:w="9121" w:h="653" w:hRule="exact" w:wrap="auto" w:vAnchor="page" w:hAnchor="page" w:x="1419" w:y="15677"/>
        <w:spacing w:after="0" w:line="240" w:lineRule="auto"/>
        <w:ind w:left="33" w:right="-1" w:firstLine="109"/>
        <w:jc w:val="both"/>
        <w:rPr>
          <w:rFonts w:eastAsia="Calibri"/>
          <w:kern w:val="2"/>
          <w:sz w:val="20"/>
          <w:szCs w:val="20"/>
        </w:rPr>
      </w:pPr>
      <w:r w:rsidRPr="000E5F67">
        <w:rPr>
          <w:rFonts w:eastAsia="Calibri"/>
          <w:kern w:val="2"/>
          <w:sz w:val="20"/>
          <w:szCs w:val="20"/>
        </w:rPr>
        <w:t>©</w:t>
      </w:r>
      <w:r w:rsidRPr="000E5F67">
        <w:rPr>
          <w:rFonts w:eastAsia="Calibri"/>
          <w:spacing w:val="33"/>
          <w:kern w:val="2"/>
          <w:sz w:val="20"/>
          <w:szCs w:val="20"/>
        </w:rPr>
        <w:t xml:space="preserve"> </w:t>
      </w:r>
      <w:r w:rsidRPr="000E5F67">
        <w:rPr>
          <w:rFonts w:eastAsia="Calibri"/>
          <w:bCs/>
          <w:kern w:val="2"/>
          <w:sz w:val="20"/>
          <w:szCs w:val="20"/>
        </w:rPr>
        <w:t>Омельяненко В., Омельяненко І.,</w:t>
      </w:r>
      <w:r w:rsidR="0004467E">
        <w:rPr>
          <w:rFonts w:eastAsia="Calibri"/>
          <w:spacing w:val="1"/>
          <w:kern w:val="2"/>
          <w:sz w:val="20"/>
          <w:szCs w:val="20"/>
        </w:rPr>
        <w:t xml:space="preserve"> 2026</w:t>
      </w:r>
      <w:r w:rsidR="0004467E">
        <w:rPr>
          <w:rFonts w:eastAsia="Calibri"/>
          <w:spacing w:val="1"/>
          <w:kern w:val="2"/>
          <w:sz w:val="20"/>
          <w:szCs w:val="20"/>
        </w:rPr>
        <w:tab/>
      </w:r>
      <w:r w:rsidRPr="000E5F67">
        <w:rPr>
          <w:rFonts w:eastAsia="Calibri"/>
          <w:spacing w:val="1"/>
          <w:kern w:val="2"/>
          <w:sz w:val="20"/>
          <w:szCs w:val="20"/>
        </w:rPr>
        <w:t>Увесь контент ліцензовано за умовами СС BY 4.0</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 xml:space="preserve">Необхідність дотримання меж оптимуму фізичного навантаження, тобто такого рівня фізичної активності, який, з одного боку, є достатнім для розвитку фізичних </w:t>
      </w:r>
      <w:r w:rsidRPr="000E5F67">
        <w:rPr>
          <w:rFonts w:eastAsia="Calibri" w:cs="Calibri"/>
          <w:kern w:val="2"/>
          <w:sz w:val="24"/>
          <w:szCs w:val="24"/>
        </w:rPr>
        <w:lastRenderedPageBreak/>
        <w:t xml:space="preserve">якостей, а з іншого – не перевищує функціональних можливостей організму має особливе значення в умовах шкільного фізичного виховання, де спостерігається значна варіативність рівня підготовленості учнів/учениць. Навантаження, які не відповідають терміновим адаптаційним можливостям людини, не сприяють прогресивним пристосованим змінам в системах та органах можуть негативно позначитись як на окремих функціональних системах, так і на організмі в цілому. Якщо фізичне навантаження залишається незмінним, то його вплив стає звичним і перестає бути розвиваючим стимулом. Лише оптимальні фізичні навантаження забезпечують оздоровчий ефект уроку фізичної культури, виступають чинником безпечного освітнього середовища, умовою попередження травматизму здобувачами освіти. </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Отже, складність реалізації методичного аспекту дозування фізичного навантаження, зумовлена необхідністю наявності фахових знань і високого рівня підготовленості особи, яка визначає та коригує його обсяг та інтенсивність, підкреслює ключову роль учителя фізичної культури в цьому процесі.</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 xml:space="preserve">Натомість, у чинній </w:t>
      </w:r>
      <w:r w:rsidRPr="000E5F67">
        <w:rPr>
          <w:rFonts w:eastAsia="Calibri" w:cs="Calibri"/>
          <w:color w:val="000000"/>
          <w:kern w:val="2"/>
          <w:sz w:val="24"/>
          <w:szCs w:val="24"/>
        </w:rPr>
        <w:t xml:space="preserve">модельній навчальній </w:t>
      </w:r>
      <w:r w:rsidRPr="000E5F67">
        <w:rPr>
          <w:rFonts w:eastAsia="Calibri" w:cs="Calibri"/>
          <w:kern w:val="2"/>
          <w:sz w:val="24"/>
          <w:szCs w:val="24"/>
        </w:rPr>
        <w:t xml:space="preserve">програмі з фізичної культури для 5-9 класів ЗЗСО та Інструктивно-методичних рекомендаціях щодо викладання навчальних предметів/інтегрованих курсів у ЗЗСО у 2025/2026 навчальному році </w:t>
      </w:r>
      <w:r w:rsidRPr="000E5F67">
        <w:rPr>
          <w:rFonts w:eastAsia="Calibri" w:cs="Calibri"/>
          <w:color w:val="000000"/>
          <w:kern w:val="2"/>
          <w:sz w:val="24"/>
          <w:szCs w:val="24"/>
        </w:rPr>
        <w:t>зазначено</w:t>
      </w:r>
      <w:r w:rsidRPr="000E5F67">
        <w:rPr>
          <w:rFonts w:eastAsia="Calibri" w:cs="Calibri"/>
          <w:kern w:val="2"/>
          <w:sz w:val="24"/>
          <w:szCs w:val="24"/>
        </w:rPr>
        <w:t xml:space="preserve">, що «При виконанні вправ не варто жорстко регламентувати виконання вправи. Нехай такі показники як темп виконання, амплітуду, кількість повторень учні та учениці регламентують самостійно відповідно до свого поточного стану. Доцільним є тільки визначати час скільки буде тривати рухове завдання» [1, 2]. Ми вважаємо, що перебирання здобувачами освіти на себе педагогічних функцій, реалізація яких потребує відповідної фахової компетентності, є неоднозначним і дискусійним явищем, що актуалізує необхідність обґрунтування проблеми дозування фізичного навантаження учасниками освітнього процесу. </w:t>
      </w:r>
    </w:p>
    <w:p w:rsidR="000E5F67" w:rsidRPr="000E5F67" w:rsidRDefault="000E5F67" w:rsidP="000E5F67">
      <w:pPr>
        <w:spacing w:after="0" w:line="240" w:lineRule="auto"/>
        <w:ind w:firstLine="709"/>
        <w:jc w:val="both"/>
        <w:rPr>
          <w:rFonts w:eastAsia="Calibri" w:cs="Calibri"/>
          <w:color w:val="000000"/>
          <w:kern w:val="2"/>
          <w:sz w:val="24"/>
          <w:szCs w:val="24"/>
        </w:rPr>
      </w:pPr>
      <w:r w:rsidRPr="000E5F67">
        <w:rPr>
          <w:rFonts w:eastAsia="Calibri" w:cs="Calibri"/>
          <w:bCs/>
          <w:kern w:val="2"/>
          <w:sz w:val="24"/>
          <w:szCs w:val="24"/>
        </w:rPr>
        <w:t>Аналіз останніх досліджень</w:t>
      </w:r>
      <w:r w:rsidRPr="000E5F67">
        <w:rPr>
          <w:rFonts w:eastAsia="Calibri" w:cs="Calibri"/>
          <w:kern w:val="2"/>
          <w:sz w:val="24"/>
          <w:szCs w:val="24"/>
        </w:rPr>
        <w:t xml:space="preserve"> </w:t>
      </w:r>
      <w:r w:rsidRPr="000E5F67">
        <w:rPr>
          <w:rFonts w:eastAsia="Calibri" w:cs="Calibri"/>
          <w:bCs/>
          <w:kern w:val="2"/>
          <w:sz w:val="24"/>
          <w:szCs w:val="24"/>
        </w:rPr>
        <w:t>і публікацій</w:t>
      </w:r>
      <w:r w:rsidRPr="000E5F67">
        <w:rPr>
          <w:rFonts w:eastAsia="Calibri" w:cs="Calibri"/>
          <w:kern w:val="2"/>
          <w:sz w:val="24"/>
          <w:szCs w:val="24"/>
        </w:rPr>
        <w:t xml:space="preserve"> свідчить про те, що п</w:t>
      </w:r>
      <w:r w:rsidRPr="000E5F67">
        <w:rPr>
          <w:rFonts w:eastAsia="Calibri" w:cs="Calibri"/>
          <w:color w:val="000000"/>
          <w:kern w:val="2"/>
          <w:sz w:val="24"/>
          <w:szCs w:val="24"/>
        </w:rPr>
        <w:t xml:space="preserve">роблема дозування фізичного навантаження на заняттях з фізичної культури в сучасній науково-методичній літературі розглядається в різних аспектах. У наукових роботах </w:t>
      </w:r>
      <w:r w:rsidR="006D3BDB">
        <w:rPr>
          <w:rFonts w:eastAsia="Calibri" w:cs="Calibri"/>
          <w:kern w:val="2"/>
          <w:sz w:val="24"/>
          <w:szCs w:val="24"/>
        </w:rPr>
        <w:t>Б.М. Шияна, І.О. </w:t>
      </w:r>
      <w:r w:rsidRPr="000E5F67">
        <w:rPr>
          <w:rFonts w:eastAsia="Calibri" w:cs="Calibri"/>
          <w:kern w:val="2"/>
          <w:sz w:val="24"/>
          <w:szCs w:val="24"/>
        </w:rPr>
        <w:t>Омельяненко (2006, 2012), Т.Ю. Круцевич (2008, 2</w:t>
      </w:r>
      <w:r w:rsidR="006D3BDB">
        <w:rPr>
          <w:rFonts w:eastAsia="Calibri" w:cs="Calibri"/>
          <w:kern w:val="2"/>
          <w:sz w:val="24"/>
          <w:szCs w:val="24"/>
        </w:rPr>
        <w:t>011), О.М. Худолія (2007), Г.М. </w:t>
      </w:r>
      <w:r w:rsidRPr="000E5F67">
        <w:rPr>
          <w:rFonts w:eastAsia="Calibri" w:cs="Calibri"/>
          <w:kern w:val="2"/>
          <w:sz w:val="24"/>
          <w:szCs w:val="24"/>
        </w:rPr>
        <w:t xml:space="preserve">Шамардіної (2004), М.М. Линця (1997), В.Г. Арефьєва (2010), Н.Є. Пангелової (2018), Л.П. Сергієнко (2007), Н.В. Москаленко (2010), С.І. Присяжнюка (2008) </w:t>
      </w:r>
      <w:r w:rsidRPr="000E5F67">
        <w:rPr>
          <w:rFonts w:eastAsia="Calibri" w:cs="Calibri"/>
          <w:color w:val="000000"/>
          <w:kern w:val="2"/>
          <w:sz w:val="24"/>
          <w:szCs w:val="24"/>
        </w:rPr>
        <w:t xml:space="preserve">дозування фізичного навантаження визначається як один із ключових методичних складових організації занять з фізичної культури в ЗЗСО. Науковці характеризують зовнішні і внутрішні показники оптимальності фізичних навантажень з урахуванням вікових особливостей </w:t>
      </w:r>
      <w:r w:rsidRPr="000E5F67">
        <w:rPr>
          <w:rFonts w:eastAsia="Calibri" w:cs="Calibri"/>
          <w:kern w:val="2"/>
          <w:sz w:val="24"/>
          <w:szCs w:val="24"/>
        </w:rPr>
        <w:t>учнів/учениць та його вплив на вирішення не лише</w:t>
      </w:r>
      <w:r w:rsidRPr="000E5F67">
        <w:rPr>
          <w:rFonts w:eastAsia="Calibri" w:cs="Calibri"/>
          <w:color w:val="000000"/>
          <w:kern w:val="2"/>
          <w:sz w:val="24"/>
          <w:szCs w:val="24"/>
        </w:rPr>
        <w:t xml:space="preserve"> оздоровчих, але й освітніх і виховних цілей. </w:t>
      </w:r>
      <w:r w:rsidRPr="000E5F67">
        <w:rPr>
          <w:rFonts w:eastAsia="Calibri" w:cs="Calibri"/>
          <w:kern w:val="2"/>
          <w:sz w:val="24"/>
          <w:szCs w:val="24"/>
        </w:rPr>
        <w:t xml:space="preserve">В їхніх працях наголошується на необхідності застосування лише оптимального фізичного навантаження, яке забезпечує розвивальний і підтримувальний ефекти на уроках фізичної культури та зумовлює такі морфофункціональні зміни в організмі, що сприяють підвищенню або підтриманню працездатності, </w:t>
      </w:r>
      <w:r w:rsidRPr="000E5F67">
        <w:rPr>
          <w:rFonts w:eastAsia="Calibri" w:cs="Calibri"/>
          <w:color w:val="000000"/>
          <w:kern w:val="2"/>
          <w:sz w:val="24"/>
          <w:szCs w:val="24"/>
        </w:rPr>
        <w:t xml:space="preserve">аеробної витривалості, </w:t>
      </w:r>
      <w:r w:rsidRPr="000E5F67">
        <w:rPr>
          <w:rFonts w:eastAsia="Calibri" w:cs="Calibri"/>
          <w:kern w:val="2"/>
          <w:sz w:val="24"/>
          <w:szCs w:val="24"/>
        </w:rPr>
        <w:t>розвитку рухових здібностей і фізичного розвитку школярів</w:t>
      </w:r>
      <w:r w:rsidRPr="000E5F67">
        <w:rPr>
          <w:rFonts w:eastAsia="Calibri" w:cs="Calibri"/>
          <w:color w:val="000000"/>
          <w:kern w:val="2"/>
          <w:sz w:val="24"/>
          <w:szCs w:val="24"/>
        </w:rPr>
        <w:t xml:space="preserve"> </w:t>
      </w:r>
      <w:r w:rsidRPr="000E5F67">
        <w:rPr>
          <w:rFonts w:eastAsia="Calibri" w:cs="Calibri"/>
          <w:kern w:val="2"/>
          <w:sz w:val="24"/>
          <w:szCs w:val="24"/>
        </w:rPr>
        <w:t>та стійкості до стресових чинників</w:t>
      </w:r>
      <w:r w:rsidRPr="000E5F67">
        <w:rPr>
          <w:rFonts w:eastAsia="Calibri" w:cs="Calibri"/>
          <w:color w:val="000000"/>
          <w:kern w:val="2"/>
          <w:sz w:val="24"/>
          <w:szCs w:val="24"/>
        </w:rPr>
        <w:t xml:space="preserve"> [3–14].</w:t>
      </w:r>
    </w:p>
    <w:p w:rsidR="000E5F67" w:rsidRPr="000E5F67" w:rsidRDefault="000E5F67" w:rsidP="000E5F67">
      <w:pPr>
        <w:spacing w:after="0" w:line="240" w:lineRule="auto"/>
        <w:ind w:firstLine="709"/>
        <w:jc w:val="both"/>
        <w:rPr>
          <w:rFonts w:eastAsia="Calibri" w:cs="Calibri"/>
          <w:color w:val="000000"/>
          <w:kern w:val="2"/>
          <w:sz w:val="24"/>
          <w:szCs w:val="24"/>
        </w:rPr>
      </w:pPr>
      <w:r w:rsidRPr="000E5F67">
        <w:rPr>
          <w:rFonts w:eastAsia="Calibri" w:cs="Calibri"/>
          <w:color w:val="000000"/>
          <w:kern w:val="2"/>
          <w:sz w:val="24"/>
          <w:szCs w:val="24"/>
        </w:rPr>
        <w:t>Аналіз О. Рябухою та В. Будзиним основних причини раптової смерті учнів/учениць на уроках фізичної культури стали підставою для висновків про те, що інтенсивність фізичних навантажень повинна бути індивідуальною для кожної дитини і відповідати не тільки її фізичній підготовленості, але й враховувати особливості стану здоров’я учня/учениці та  самопочуття в день уроку [15].</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color w:val="000000"/>
          <w:kern w:val="2"/>
          <w:sz w:val="24"/>
          <w:szCs w:val="24"/>
        </w:rPr>
        <w:t xml:space="preserve">У сучасних публікаціях вітчизняних і зарубіжних дослідників значна увага приділяється фізіологічним критеріям оцінювання адекватності фізичного навантаження. Частоту серцевих скорочень (ЧСС) науковці вважають найбільш інформативним показником інтенсивності фізичних навантажень та адаптаційних реакцій організму. </w:t>
      </w:r>
      <w:r w:rsidRPr="000E5F67">
        <w:rPr>
          <w:rFonts w:eastAsia="Calibri" w:cs="Calibri"/>
          <w:kern w:val="2"/>
          <w:sz w:val="24"/>
          <w:szCs w:val="24"/>
        </w:rPr>
        <w:t xml:space="preserve">Доведено, що контроль ЧСС під час уроків фізичної культури </w:t>
      </w:r>
      <w:r w:rsidRPr="000E5F67">
        <w:rPr>
          <w:rFonts w:eastAsia="Calibri" w:cs="Calibri"/>
          <w:kern w:val="2"/>
          <w:sz w:val="24"/>
          <w:szCs w:val="24"/>
        </w:rPr>
        <w:lastRenderedPageBreak/>
        <w:t xml:space="preserve">підвищує їхню безпечність </w:t>
      </w:r>
      <w:r w:rsidRPr="000E5F67">
        <w:rPr>
          <w:rFonts w:eastAsia="Calibri" w:cs="Calibri"/>
          <w:color w:val="000000"/>
          <w:kern w:val="2"/>
          <w:sz w:val="24"/>
          <w:szCs w:val="24"/>
        </w:rPr>
        <w:t xml:space="preserve">[16,17,18]. Попри це </w:t>
      </w:r>
      <w:r w:rsidRPr="000E5F67">
        <w:rPr>
          <w:rFonts w:eastAsia="Calibri" w:cs="Calibri"/>
          <w:kern w:val="2"/>
          <w:sz w:val="24"/>
          <w:szCs w:val="24"/>
        </w:rPr>
        <w:t>вчителі фізичної культури часто ігнорують вимірювання ЧСС. До того ж, під час виконання фізичних вправ такий контроль важко організувати, тому фахівці розробили педагогічні тести</w:t>
      </w:r>
      <w:r w:rsidRPr="000E5F67">
        <w:rPr>
          <w:rFonts w:eastAsia="Calibri" w:cs="Calibri"/>
          <w:i/>
          <w:iCs/>
          <w:kern w:val="2"/>
          <w:sz w:val="24"/>
          <w:szCs w:val="24"/>
        </w:rPr>
        <w:t xml:space="preserve"> (розмовний, кроковий та дихальний), </w:t>
      </w:r>
      <w:r w:rsidRPr="000E5F67">
        <w:rPr>
          <w:rFonts w:eastAsia="Calibri" w:cs="Calibri"/>
          <w:kern w:val="2"/>
          <w:sz w:val="24"/>
          <w:szCs w:val="24"/>
        </w:rPr>
        <w:t xml:space="preserve">які дозволяють контролювати інтенсивність фізичного навантаження під час виконання циклічних вправ [19]. </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Ефективним інструментом оптимального дозування фізичного навантаження у фізичному вихованні школярів є цифрові технології, які забезпечують об’єктивний контроль стану організму учнів/учениць. У публікаціях Н. Сороколіт, В. Ткачука, Г. Маланчука [20], В. Гейтенка, С. Шинкарьова, Н. Шинкарьової [21] обґрунтована ефективність використання цифрових застосунків (мобільних додатків, фітнес-трекерів, онлайн-платформ тощо) для моніторингу показників фізичного стану учнів/учениць, що створює умови для індивідуалізації фізичного навантаження.</w:t>
      </w:r>
    </w:p>
    <w:p w:rsidR="000E5F67" w:rsidRPr="000E5F67" w:rsidRDefault="000E5F67" w:rsidP="000E5F67">
      <w:pPr>
        <w:spacing w:after="0" w:line="240" w:lineRule="auto"/>
        <w:ind w:firstLine="709"/>
        <w:jc w:val="both"/>
        <w:rPr>
          <w:rFonts w:eastAsia="Calibri" w:cs="Calibri"/>
          <w:color w:val="000000"/>
          <w:kern w:val="2"/>
          <w:sz w:val="24"/>
          <w:szCs w:val="24"/>
        </w:rPr>
      </w:pPr>
      <w:r w:rsidRPr="000E5F67">
        <w:rPr>
          <w:rFonts w:eastAsia="Calibri" w:cs="Calibri"/>
          <w:color w:val="000000"/>
          <w:kern w:val="2"/>
          <w:sz w:val="24"/>
          <w:szCs w:val="24"/>
        </w:rPr>
        <w:t>Л. Філенко та співавтори стверджують, що під час використанні on-line технологій у фізичному вихованні вимірювання ЧСС із подальшим коригуванням фізичного навантаження вчителем є обовʼязковою умовою дистанційного навчання [22].</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Отже, у сучасних інформаційних джерелах питання дозування фізичних навантажень висвітлено доволі широко. Основними напрямами його розгляду є теоретичний і методичний аспекти, а також фізіологічна складова. Водночас проблема ролі учасників освітнього процесу в цьому контексті залишається недостатньо дослідженою.</w:t>
      </w:r>
    </w:p>
    <w:p w:rsidR="000E5F67" w:rsidRPr="000E5F67" w:rsidRDefault="000E5F67" w:rsidP="000E5F67">
      <w:pPr>
        <w:spacing w:after="0" w:line="240" w:lineRule="auto"/>
        <w:ind w:firstLine="709"/>
        <w:jc w:val="both"/>
        <w:rPr>
          <w:rFonts w:eastAsia="Calibri" w:cs="Calibri"/>
          <w:kern w:val="2"/>
          <w:sz w:val="24"/>
          <w:szCs w:val="24"/>
        </w:rPr>
      </w:pPr>
      <w:bookmarkStart w:id="52" w:name="Мета"/>
      <w:bookmarkEnd w:id="52"/>
      <w:r w:rsidRPr="000E5F67">
        <w:rPr>
          <w:rFonts w:eastAsia="Calibri" w:cs="Calibri"/>
          <w:b/>
          <w:bCs/>
          <w:kern w:val="2"/>
          <w:sz w:val="24"/>
          <w:szCs w:val="24"/>
        </w:rPr>
        <w:t>Мета дослідження</w:t>
      </w:r>
      <w:r w:rsidRPr="000E5F67">
        <w:rPr>
          <w:rFonts w:eastAsia="Calibri" w:cs="Calibri"/>
          <w:kern w:val="2"/>
          <w:sz w:val="24"/>
          <w:szCs w:val="24"/>
        </w:rPr>
        <w:t xml:space="preserve"> – </w:t>
      </w:r>
      <w:bookmarkStart w:id="53" w:name="_Hlk214787230"/>
      <w:r w:rsidRPr="000E5F67">
        <w:rPr>
          <w:rFonts w:eastAsia="Calibri" w:cs="Calibri"/>
          <w:kern w:val="2"/>
          <w:sz w:val="24"/>
          <w:szCs w:val="24"/>
        </w:rPr>
        <w:t>теоретичне обґрунтування ролі вчителя фізичної культури у процесі дозування фізичного навантаження здобувачів загальної  середньої освіти.</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b/>
          <w:bCs/>
          <w:kern w:val="2"/>
          <w:sz w:val="24"/>
          <w:szCs w:val="24"/>
        </w:rPr>
        <w:t>Матеріали і методи.</w:t>
      </w:r>
      <w:r w:rsidRPr="000E5F67">
        <w:rPr>
          <w:rFonts w:eastAsia="Calibri" w:cs="Calibri"/>
          <w:kern w:val="2"/>
          <w:sz w:val="24"/>
          <w:szCs w:val="24"/>
        </w:rPr>
        <w:t xml:space="preserve"> Теоретичний аналіз та узагальнення науково-методичних джерел і матеріалів мережі «Інтернет», порівняльний метод для обґрунтування висновків щодо застосування традиційних та сучасних підходів до дозування фізичних навантажень на уроках фізичної культури.</w:t>
      </w:r>
    </w:p>
    <w:bookmarkEnd w:id="53"/>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b/>
          <w:bCs/>
          <w:kern w:val="2"/>
          <w:sz w:val="24"/>
          <w:szCs w:val="24"/>
        </w:rPr>
        <w:t xml:space="preserve">Зв’язок роботи з науковими програмами. </w:t>
      </w:r>
      <w:r w:rsidRPr="000E5F67">
        <w:rPr>
          <w:rFonts w:eastAsia="Calibri" w:cs="Calibri"/>
          <w:kern w:val="2"/>
          <w:sz w:val="24"/>
          <w:szCs w:val="24"/>
        </w:rPr>
        <w:t>Стаття є складовою науково-дослідної теми кафедри теоретичних основ і методики фізичного виховання Тернопільського національного педагогічного університету імені Володимира Гнатюка «Теоретико-методичні засади формування фізичної культури здобувачів освіти» на 2025–2029 роки (номер держреєстрації 0125U003533).</w:t>
      </w:r>
    </w:p>
    <w:p w:rsidR="000E5F67" w:rsidRPr="000E5F67" w:rsidRDefault="000E5F67" w:rsidP="000E5F67">
      <w:pPr>
        <w:spacing w:after="0" w:line="240" w:lineRule="auto"/>
        <w:ind w:firstLine="709"/>
        <w:jc w:val="both"/>
        <w:rPr>
          <w:rFonts w:eastAsia="Calibri" w:cs="Calibri"/>
          <w:kern w:val="2"/>
          <w:sz w:val="24"/>
          <w:szCs w:val="24"/>
        </w:rPr>
      </w:pPr>
      <w:bookmarkStart w:id="54" w:name="Аналіз_останніх_досліджень"/>
      <w:bookmarkStart w:id="55" w:name="Виклад_основного_матеріалу_дослідження"/>
      <w:bookmarkEnd w:id="54"/>
      <w:bookmarkEnd w:id="55"/>
      <w:r w:rsidRPr="000E5F67">
        <w:rPr>
          <w:rFonts w:eastAsia="Calibri"/>
          <w:b/>
          <w:kern w:val="2"/>
          <w:sz w:val="24"/>
          <w:szCs w:val="24"/>
          <w:shd w:val="clear" w:color="auto" w:fill="FFFFFF"/>
        </w:rPr>
        <w:t>Результати дослідження</w:t>
      </w:r>
      <w:r w:rsidRPr="000E5F67">
        <w:rPr>
          <w:rFonts w:eastAsia="Calibri"/>
          <w:b/>
          <w:bCs/>
          <w:kern w:val="2"/>
          <w:sz w:val="24"/>
          <w:szCs w:val="24"/>
        </w:rPr>
        <w:t>.</w:t>
      </w:r>
      <w:r w:rsidRPr="000E5F67">
        <w:rPr>
          <w:rFonts w:eastAsia="Calibri" w:cs="Calibri"/>
          <w:b/>
          <w:bCs/>
          <w:kern w:val="2"/>
          <w:sz w:val="24"/>
          <w:szCs w:val="24"/>
        </w:rPr>
        <w:t xml:space="preserve"> </w:t>
      </w:r>
      <w:r w:rsidRPr="000E5F67">
        <w:rPr>
          <w:rFonts w:eastAsia="Calibri" w:cs="Calibri"/>
          <w:kern w:val="2"/>
          <w:sz w:val="24"/>
          <w:szCs w:val="24"/>
        </w:rPr>
        <w:t>Контроль за фізичним навантаженням учнів/учениць у процесі фізичного виховання, який здійснюється закладом освіти та педагогом як його представником, є обов’язковою складовою організації освітнього процесу і регламентується низкою нормативно-правових актів України. Загальні вимоги щодо безпечності освітнього процесу визначено у Законі України «Про освіту». У ст. 26 та ст. 53 наголошується на обов’язку закладів освіти забезпечувати безпечні та нешкідливі умови навчання, а також збереження здоров’я здобувачів освіти. Аналогічні положення конкретизовано у Законі України «Про повну загальну середню освіту» (ст. 21) [23,24].</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Концепція «Нова українська школа» передбачає орієнтацію освітнього процесу на дитиноцентризм та створення умов для безпечного й комфортного розвитку здобувачів освіти. У цьому контексті особливого значення набуває діяльність учителя фізичної культури щодо раціонального дозування фізичних навантажень. Його реалізація зумовлена необхідністю врахування індивідуальних (вікових, статевих, функціональних) особливостей учнів/учениць для забезпечення адекватного рівня фізичного навантаження, що сприяє оптимізації функціонального стану організму та профілактиці перевтоми [25].</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 xml:space="preserve">Державні стандарти базової та повної загальної середньої освіти також містять вимоги щодо безпеки освітнього процесу [26,27]. Зокрема, у Державному стандарті базової середньої освіти (2020) визначено, що освітній процес має здійснюватися з </w:t>
      </w:r>
      <w:r w:rsidRPr="000E5F67">
        <w:rPr>
          <w:rFonts w:eastAsia="Calibri" w:cs="Calibri"/>
          <w:kern w:val="2"/>
          <w:sz w:val="24"/>
          <w:szCs w:val="24"/>
        </w:rPr>
        <w:lastRenderedPageBreak/>
        <w:t>урахуванням здоров’язбережувальної компетентності та індивідуальних можливостей учнів, що безпосередньо пов’язано з необхідністю контролю фізичних навантажень.</w:t>
      </w:r>
    </w:p>
    <w:p w:rsidR="000E5F67" w:rsidRPr="000E5F67" w:rsidRDefault="000E5F67" w:rsidP="000E5F67">
      <w:pPr>
        <w:spacing w:after="0" w:line="240" w:lineRule="auto"/>
        <w:ind w:firstLine="709"/>
        <w:jc w:val="both"/>
        <w:rPr>
          <w:rFonts w:eastAsia="Calibri" w:cs="Calibri"/>
          <w:color w:val="000000"/>
          <w:kern w:val="2"/>
          <w:sz w:val="24"/>
          <w:szCs w:val="24"/>
        </w:rPr>
      </w:pPr>
      <w:r w:rsidRPr="000E5F67">
        <w:rPr>
          <w:rFonts w:eastAsia="Calibri" w:cs="Calibri"/>
          <w:kern w:val="2"/>
          <w:sz w:val="24"/>
          <w:szCs w:val="24"/>
        </w:rPr>
        <w:t>Професійний стандарт «Вчитель закладу загальної середньої освіти» у змісті трудових функцій педагога окреслює важливість створення «умов для забезпечення гармонійного фізичного та психічного розвитку учнів/учениць». Документ також передбачає наявність здоров’язбережувальної компетентності, яка включає здатність учителя «організовувати освітнє середовище з урахуванням вимог безпеки життєдіяльності та охорони праці», здійснювати «профілактичні заходи, спрямовані на збереження і зміцнення здоров’я здобувачів освіти», «планувати освітній процес із дотриманням принципів здорового й безпечного способу життя», а також «виявляти ознаки погіршення фізичного та психоемоційного стану учасників освітнього процесу» [28]. У цьому контексті функція вчителя фізичної культури щодо дозування фізичного навантаження набуває виразної педагогічної спрямованості</w:t>
      </w:r>
      <w:r w:rsidRPr="000E5F67">
        <w:rPr>
          <w:rFonts w:eastAsia="Calibri" w:cs="Calibri"/>
          <w:color w:val="000000"/>
          <w:kern w:val="2"/>
          <w:sz w:val="24"/>
          <w:szCs w:val="24"/>
        </w:rPr>
        <w:t xml:space="preserve">. </w:t>
      </w:r>
    </w:p>
    <w:p w:rsidR="000E5F67" w:rsidRPr="000E5F67" w:rsidRDefault="000E5F67" w:rsidP="000E5F67">
      <w:pPr>
        <w:spacing w:after="0" w:line="240" w:lineRule="auto"/>
        <w:ind w:firstLine="709"/>
        <w:jc w:val="both"/>
        <w:rPr>
          <w:rFonts w:eastAsia="Calibri"/>
          <w:color w:val="000000"/>
          <w:kern w:val="2"/>
          <w:sz w:val="24"/>
          <w:szCs w:val="24"/>
        </w:rPr>
      </w:pPr>
      <w:r w:rsidRPr="000E5F67">
        <w:rPr>
          <w:rFonts w:eastAsia="Calibri" w:cs="Calibri"/>
          <w:color w:val="000000"/>
          <w:kern w:val="2"/>
          <w:sz w:val="24"/>
          <w:szCs w:val="24"/>
        </w:rPr>
        <w:t xml:space="preserve">Важливе значення для </w:t>
      </w:r>
      <w:r w:rsidRPr="000E5F67">
        <w:rPr>
          <w:rFonts w:eastAsia="Calibri" w:cs="Calibri"/>
          <w:kern w:val="2"/>
          <w:sz w:val="24"/>
          <w:szCs w:val="24"/>
        </w:rPr>
        <w:t>регламентації вчителем фізичної культури фізичних навантажень має «Положення про медико-педагогічний контроль за фізичним вихованням учнів/учениць» та «</w:t>
      </w:r>
      <w:r w:rsidRPr="000E5F67">
        <w:rPr>
          <w:rFonts w:eastAsia="Calibri"/>
          <w:kern w:val="2"/>
          <w:sz w:val="24"/>
          <w:szCs w:val="24"/>
          <w:shd w:val="clear" w:color="auto" w:fill="FFFFFF"/>
        </w:rPr>
        <w:t>Правила безпеки під час проведення занять з фізичної культури і спорту в загальноосвітніх навчальних закладах</w:t>
      </w:r>
      <w:r w:rsidRPr="000E5F67">
        <w:rPr>
          <w:rFonts w:eastAsia="Calibri" w:cs="Calibri"/>
          <w:kern w:val="2"/>
          <w:sz w:val="24"/>
          <w:szCs w:val="24"/>
        </w:rPr>
        <w:t>». Так, у третьому розділі Положення зазначено, що медико-педагогічний контроль входить до обовʼязкових функцій медичних і педагогічних працівників навчального закладу, які повинні проводити контроль за навантаженням учнів/учениць під час уроків фізичної культури. Під час проведення уроку фізичної культури необхідно спостерігати за реакцією організму учнів/учениць на фізичне навантаження за</w:t>
      </w:r>
      <w:r w:rsidRPr="000E5F67">
        <w:rPr>
          <w:rFonts w:eastAsia="Calibri" w:cs="Calibri"/>
          <w:b/>
          <w:bCs/>
          <w:kern w:val="2"/>
          <w:sz w:val="24"/>
          <w:szCs w:val="24"/>
        </w:rPr>
        <w:t xml:space="preserve"> </w:t>
      </w:r>
      <w:r w:rsidRPr="000E5F67">
        <w:rPr>
          <w:rFonts w:eastAsia="Calibri" w:cs="Calibri"/>
          <w:kern w:val="2"/>
          <w:sz w:val="24"/>
          <w:szCs w:val="24"/>
        </w:rPr>
        <w:t>зовнішніми ознаками втоми. За результатами медико-педагогічного спостереження проводиться корекція планування фізичних навантажень.</w:t>
      </w:r>
      <w:r w:rsidRPr="000E5F67">
        <w:rPr>
          <w:rFonts w:eastAsia="Calibri"/>
          <w:color w:val="EE0000"/>
          <w:kern w:val="2"/>
          <w:sz w:val="24"/>
          <w:szCs w:val="24"/>
        </w:rPr>
        <w:t xml:space="preserve"> </w:t>
      </w:r>
      <w:r w:rsidRPr="000E5F67">
        <w:rPr>
          <w:rFonts w:eastAsia="Calibri"/>
          <w:color w:val="000000"/>
          <w:kern w:val="2"/>
          <w:sz w:val="24"/>
          <w:szCs w:val="24"/>
        </w:rPr>
        <w:t xml:space="preserve">Також </w:t>
      </w:r>
      <w:r w:rsidRPr="000E5F67">
        <w:rPr>
          <w:rFonts w:eastAsia="Calibri" w:cs="Calibri"/>
          <w:color w:val="000000"/>
          <w:kern w:val="2"/>
          <w:sz w:val="24"/>
          <w:szCs w:val="24"/>
        </w:rPr>
        <w:t>Положенням окреслено, що д</w:t>
      </w:r>
      <w:r w:rsidRPr="000E5F67">
        <w:rPr>
          <w:rFonts w:eastAsia="Calibri"/>
          <w:color w:val="000000"/>
          <w:kern w:val="2"/>
          <w:sz w:val="24"/>
          <w:szCs w:val="24"/>
        </w:rPr>
        <w:t xml:space="preserve">опустимий рівень фізичного навантаження на уроці для тих </w:t>
      </w:r>
      <w:r w:rsidRPr="000E5F67">
        <w:rPr>
          <w:rFonts w:eastAsia="Calibri" w:cs="Calibri"/>
          <w:color w:val="000000"/>
          <w:kern w:val="2"/>
          <w:sz w:val="24"/>
          <w:szCs w:val="24"/>
        </w:rPr>
        <w:t>учнів/учениць</w:t>
      </w:r>
      <w:r w:rsidRPr="000E5F67">
        <w:rPr>
          <w:rFonts w:eastAsia="Calibri"/>
          <w:color w:val="000000"/>
          <w:kern w:val="2"/>
          <w:sz w:val="24"/>
          <w:szCs w:val="24"/>
        </w:rPr>
        <w:t xml:space="preserve">, «які за станом здоров'я належать до підготовчої та спеціальної медичних груп і відвідують уроки фізичної культури, встановлюється вчителем фізичної культури». </w:t>
      </w:r>
      <w:r w:rsidRPr="000E5F67">
        <w:rPr>
          <w:rFonts w:eastAsia="Calibri" w:cs="Calibri"/>
          <w:color w:val="000000"/>
          <w:kern w:val="2"/>
          <w:sz w:val="24"/>
          <w:szCs w:val="24"/>
        </w:rPr>
        <w:t>У документі прямо зазначено, що під час занять зі спортивних ігор учні мають виконувати вказівки вчителя фізичної культури щодо поступового підвищення фізичного навантаження на м’язи з метою запобігання травматизму [29].</w:t>
      </w:r>
    </w:p>
    <w:p w:rsidR="000E5F67" w:rsidRPr="000E5F67" w:rsidRDefault="000E5F67" w:rsidP="000E5F67">
      <w:pPr>
        <w:spacing w:after="0" w:line="240" w:lineRule="auto"/>
        <w:ind w:firstLine="709"/>
        <w:jc w:val="both"/>
        <w:rPr>
          <w:rFonts w:eastAsia="Calibri" w:cs="Calibri"/>
          <w:color w:val="000000"/>
          <w:kern w:val="2"/>
          <w:sz w:val="24"/>
          <w:szCs w:val="24"/>
        </w:rPr>
      </w:pPr>
      <w:r w:rsidRPr="000E5F67">
        <w:rPr>
          <w:rFonts w:eastAsia="Calibri" w:cs="Calibri"/>
          <w:kern w:val="2"/>
          <w:sz w:val="24"/>
          <w:szCs w:val="24"/>
        </w:rPr>
        <w:t xml:space="preserve">Правила безпеки містять ще одне важливе положення, яким підкреслюється визначальна роль учителя фізичної культури у питанні дозування фізичних навантажень. Зокрема, у документі зазначено, що за умови неможливості розподілу учнів 10–12 класів загальноосвітніх навчальних закладів на групи вчитель фізичної культури здійснює диференціацію фізичних навантажень для хлопців і дівчат </w:t>
      </w:r>
      <w:r w:rsidRPr="000E5F67">
        <w:rPr>
          <w:rFonts w:eastAsia="Calibri" w:cs="Calibri"/>
          <w:color w:val="000000"/>
          <w:kern w:val="2"/>
          <w:sz w:val="24"/>
          <w:szCs w:val="24"/>
        </w:rPr>
        <w:t>[30].</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color w:val="000000"/>
          <w:kern w:val="2"/>
          <w:sz w:val="24"/>
          <w:szCs w:val="24"/>
        </w:rPr>
        <w:t xml:space="preserve">Контроль за фізичним навантаженням учнів/учениць на уроках фізичної культури з боку вчителя фізичної культури передбачений модельною навчальною програмою з фізичної культури для 5–9 класів </w:t>
      </w:r>
      <w:r w:rsidRPr="000E5F67">
        <w:rPr>
          <w:rFonts w:eastAsia="Calibri" w:cs="Calibri"/>
          <w:kern w:val="2"/>
          <w:sz w:val="24"/>
          <w:szCs w:val="24"/>
        </w:rPr>
        <w:t xml:space="preserve">та Інструктивно-методичними рекомендаціями щодо викладання навчальних предметів/інтегрованих курсів у закладах загальної середньої освіти у 2025/2026 навчальному році [1,2]. У документах зазначено, що під час уроку фізичної культури вчитель повинен дотримуватися як загальнопедагогічних принципів навчання, зокрема, врахування індивідуальних особливостей учнів, так і специфічних принципів фізичного виховання, зокрема, поступового підвищення розвиваючо-тренувальних впливів. Методика розвитку фізичних якостей має включати, зокрема, визначення величини </w:t>
      </w:r>
      <w:r w:rsidRPr="000E5F67">
        <w:rPr>
          <w:rFonts w:eastAsia="Calibri" w:cs="Calibri"/>
          <w:color w:val="000000"/>
          <w:kern w:val="2"/>
          <w:sz w:val="24"/>
          <w:szCs w:val="24"/>
        </w:rPr>
        <w:t>фізичних</w:t>
      </w:r>
      <w:r w:rsidRPr="000E5F67">
        <w:rPr>
          <w:rFonts w:eastAsia="Calibri" w:cs="Calibri"/>
          <w:color w:val="EE0000"/>
          <w:kern w:val="2"/>
          <w:sz w:val="24"/>
          <w:szCs w:val="24"/>
        </w:rPr>
        <w:t xml:space="preserve"> </w:t>
      </w:r>
      <w:r w:rsidRPr="000E5F67">
        <w:rPr>
          <w:rFonts w:eastAsia="Calibri" w:cs="Calibri"/>
          <w:kern w:val="2"/>
          <w:sz w:val="24"/>
          <w:szCs w:val="24"/>
        </w:rPr>
        <w:t>навантажень для кожної з фізичних якостей [7]. Таким чином, чинні нормативно-правові акти, що регламентують діяльність вчителя фізичної культури, містять однозначні положення про те, що вчитель є ключовою особою у визначенні фізичних навантажень для учнів/учениць на уроках фізичної культури.</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 xml:space="preserve">Попри це Рекомендації містять положення, що суперечить традиційній методиці проведення уроку. Автори документу закликають переходити до «реальної </w:t>
      </w:r>
      <w:r w:rsidRPr="000E5F67">
        <w:rPr>
          <w:rFonts w:eastAsia="Calibri" w:cs="Calibri"/>
          <w:kern w:val="2"/>
          <w:sz w:val="24"/>
          <w:szCs w:val="24"/>
        </w:rPr>
        <w:lastRenderedPageBreak/>
        <w:t xml:space="preserve">індивідуалізації навчання», тобто учні/учениці «мають самостійно визначати кількість повторень, амплітуду, темп виконання тощо, відповідно їх інтересам та можливостям. Доцільним, на їхню думку, є тільки визначення вчителем фізичної культури тривалості виконання рухового завдання [1]. </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 xml:space="preserve">Такий підхід унеможливлює </w:t>
      </w:r>
      <w:r w:rsidRPr="000E5F67">
        <w:rPr>
          <w:rFonts w:eastAsia="Calibri" w:cs="Calibri"/>
          <w:color w:val="000000"/>
          <w:kern w:val="2"/>
          <w:sz w:val="24"/>
          <w:szCs w:val="24"/>
        </w:rPr>
        <w:t>розвиток фізичних якостей учнів/учениць через недотримання принципів і правил дозування фізичних навантажень, необхідних для досягнення розвивального ефекту.</w:t>
      </w:r>
      <w:r w:rsidRPr="000E5F67">
        <w:rPr>
          <w:rFonts w:eastAsia="Calibri" w:cs="Calibri"/>
          <w:kern w:val="2"/>
          <w:sz w:val="24"/>
          <w:szCs w:val="24"/>
        </w:rPr>
        <w:t xml:space="preserve"> Водночас виникає питання відповідальності за призначення неадекватних фізичних навантажень, які можуть призводити до погіршення самопочуття, травмування або інших негативних наслідків під час уроку. Очевидно, що покладання цієї функції на здобувачів освіти є недостатньо обґрунтованим.</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 xml:space="preserve">Крім того, запропонований у Рекомендаціях підхід не враховує емоційний компонент виконання фізичних вправ підлітками, яким властива переоцінка власних можливостей, що може призводити до перенапруження адаптаційних механізмів організму у відповідь на фізичне навантаження. </w:t>
      </w:r>
    </w:p>
    <w:p w:rsidR="000E5F67" w:rsidRPr="000E5F67" w:rsidRDefault="000E5F67" w:rsidP="000E5F67">
      <w:pPr>
        <w:spacing w:after="0" w:line="240" w:lineRule="auto"/>
        <w:ind w:firstLine="709"/>
        <w:jc w:val="both"/>
        <w:rPr>
          <w:kern w:val="2"/>
          <w:sz w:val="24"/>
          <w:szCs w:val="24"/>
          <w:lang w:eastAsia="ru-RU"/>
        </w:rPr>
      </w:pPr>
      <w:r w:rsidRPr="000E5F67">
        <w:rPr>
          <w:rFonts w:eastAsia="Calibri" w:cs="Calibri"/>
          <w:kern w:val="2"/>
          <w:sz w:val="24"/>
          <w:szCs w:val="24"/>
        </w:rPr>
        <w:t>Аналіз Державного стандарту базової середньої освіти засвідчив відсутність серед обов’язкових результатів навчання з фізичної культури компетентностей, що передбачають дії щодо самостійного дозування фізичних навантажень здобувачами освіти. Водночас окремі результати, зокрема «</w:t>
      </w:r>
      <w:r w:rsidRPr="000E5F67">
        <w:rPr>
          <w:kern w:val="2"/>
          <w:sz w:val="24"/>
          <w:szCs w:val="24"/>
          <w:lang w:eastAsia="ru-RU"/>
        </w:rPr>
        <w:t>Контролює свій фізичний стан під час рухової діяльності (ФІО 3.2)» та «Дотримується правил безпечної поведінки під час фізкультурно-оздоровчої діяльності</w:t>
      </w:r>
      <w:r w:rsidRPr="000E5F67">
        <w:rPr>
          <w:rFonts w:eastAsia="Calibri" w:cs="Calibri"/>
          <w:kern w:val="2"/>
          <w:sz w:val="24"/>
          <w:szCs w:val="24"/>
        </w:rPr>
        <w:t xml:space="preserve"> (</w:t>
      </w:r>
      <w:r w:rsidRPr="000E5F67">
        <w:rPr>
          <w:kern w:val="2"/>
          <w:sz w:val="24"/>
          <w:szCs w:val="24"/>
          <w:lang w:eastAsia="ru-RU"/>
        </w:rPr>
        <w:t xml:space="preserve">ФІО 3.5)», </w:t>
      </w:r>
      <w:r w:rsidRPr="000E5F67">
        <w:rPr>
          <w:rFonts w:eastAsia="Calibri" w:cs="Calibri"/>
          <w:kern w:val="2"/>
          <w:sz w:val="24"/>
          <w:szCs w:val="24"/>
        </w:rPr>
        <w:t>обмежуються переважно оцінювальними та пояснювальними діями (наприклад, «оцінює власну фізичну працездатність…», «пояснює наслідки недотримання правил безпеки»), і не передбачають практичного здійснення дозування навантаження»</w:t>
      </w:r>
      <w:r w:rsidRPr="000E5F67">
        <w:rPr>
          <w:kern w:val="2"/>
          <w:sz w:val="24"/>
          <w:szCs w:val="24"/>
          <w:lang w:eastAsia="ru-RU"/>
        </w:rPr>
        <w:t xml:space="preserve"> [26].</w:t>
      </w:r>
    </w:p>
    <w:p w:rsidR="000E5F67" w:rsidRPr="000E5F67" w:rsidRDefault="000E5F67" w:rsidP="000E5F67">
      <w:pPr>
        <w:spacing w:after="0" w:line="240" w:lineRule="auto"/>
        <w:ind w:firstLine="709"/>
        <w:jc w:val="both"/>
        <w:rPr>
          <w:rFonts w:eastAsia="Calibri" w:cs="Calibri"/>
          <w:kern w:val="2"/>
          <w:sz w:val="24"/>
          <w:szCs w:val="24"/>
        </w:rPr>
      </w:pPr>
      <w:bookmarkStart w:id="56" w:name="Висновки"/>
      <w:bookmarkEnd w:id="56"/>
      <w:r w:rsidRPr="000E5F67">
        <w:rPr>
          <w:rFonts w:eastAsia="Calibri" w:cs="Calibri"/>
          <w:b/>
          <w:bCs/>
          <w:kern w:val="2"/>
          <w:sz w:val="24"/>
          <w:szCs w:val="24"/>
        </w:rPr>
        <w:t>Висновки</w:t>
      </w:r>
      <w:r w:rsidRPr="000E5F67">
        <w:rPr>
          <w:rFonts w:eastAsia="Calibri" w:cs="Calibri"/>
          <w:kern w:val="2"/>
          <w:sz w:val="24"/>
          <w:szCs w:val="24"/>
        </w:rPr>
        <w:t>. Аналіз нормативно-правових актів у сфері загальної середньої освіти засвідчив, що провідна роль у дозуванні фізичного навантаження учнів/учениць під час виконання фізичних вправ належить учителю фізичної культури. Саме вчитель, володіючи здоров’язбережувальною компетентністю, має визначати обсяг, інтенсивність і тривалість фізичних вправ з урахуванням вікових, статевих, індивідуальних та медичних особливостей учнів/учениць.</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kern w:val="2"/>
          <w:sz w:val="24"/>
          <w:szCs w:val="24"/>
        </w:rPr>
        <w:t>Покладання функції дозування фізичного навантаження на здобувачів базової освіти є необґрунтованим з огляду на зміст Державного стандарту, який не передбачає формування такого вміння як обов’язкового результату навчання. Водночас притаманна підліткам схильність до переоцінки власних можливостей може призводити до неадекватного дозування фізичного навантаження, що, своєю чергою, підвищує ризик перенапруження адаптаційних механізмів організму та виникнення негативних наслідків.</w:t>
      </w:r>
    </w:p>
    <w:p w:rsidR="000E5F67" w:rsidRPr="000E5F67" w:rsidRDefault="000E5F67" w:rsidP="000E5F67">
      <w:pPr>
        <w:spacing w:after="0" w:line="240" w:lineRule="auto"/>
        <w:ind w:firstLine="709"/>
        <w:jc w:val="both"/>
        <w:rPr>
          <w:rFonts w:eastAsia="Calibri" w:cs="Calibri"/>
          <w:kern w:val="2"/>
          <w:sz w:val="24"/>
          <w:szCs w:val="24"/>
        </w:rPr>
      </w:pPr>
      <w:r w:rsidRPr="000E5F67">
        <w:rPr>
          <w:rFonts w:eastAsia="Calibri" w:cs="Calibri"/>
          <w:b/>
          <w:bCs/>
          <w:kern w:val="2"/>
          <w:sz w:val="24"/>
          <w:szCs w:val="24"/>
        </w:rPr>
        <w:t>Перспективи подальших досліджень</w:t>
      </w:r>
      <w:r w:rsidRPr="000E5F67">
        <w:rPr>
          <w:rFonts w:eastAsia="Calibri" w:cs="Calibri"/>
          <w:kern w:val="2"/>
          <w:sz w:val="24"/>
          <w:szCs w:val="24"/>
        </w:rPr>
        <w:t xml:space="preserve"> передбачають вивчення практики застосування вчителями методів дозування фізичних навантажень на уроці фізичної культури. </w:t>
      </w:r>
    </w:p>
    <w:p w:rsidR="000E5F67" w:rsidRPr="000E5F67" w:rsidRDefault="000E5F67" w:rsidP="000E5F67">
      <w:pPr>
        <w:spacing w:after="0" w:line="240" w:lineRule="auto"/>
        <w:ind w:firstLine="709"/>
        <w:jc w:val="both"/>
        <w:rPr>
          <w:rFonts w:eastAsia="Calibri" w:cs="Calibri"/>
          <w:kern w:val="2"/>
          <w:sz w:val="24"/>
          <w:szCs w:val="24"/>
        </w:rPr>
      </w:pPr>
    </w:p>
    <w:p w:rsidR="000E5F67" w:rsidRPr="000E5F67" w:rsidRDefault="000E5F67" w:rsidP="000E5F67">
      <w:pPr>
        <w:spacing w:after="0" w:line="240" w:lineRule="auto"/>
        <w:ind w:firstLine="709"/>
        <w:jc w:val="center"/>
        <w:rPr>
          <w:rFonts w:eastAsia="Calibri" w:cs="Calibri"/>
          <w:kern w:val="2"/>
          <w:sz w:val="20"/>
          <w:szCs w:val="20"/>
          <w:lang w:val="en-US"/>
        </w:rPr>
      </w:pPr>
      <w:bookmarkStart w:id="57" w:name="Список_використаних_джерел"/>
      <w:bookmarkEnd w:id="57"/>
      <w:r w:rsidRPr="000E5F67">
        <w:rPr>
          <w:rFonts w:eastAsia="Calibri" w:cs="Calibri"/>
          <w:b/>
          <w:bCs/>
          <w:kern w:val="2"/>
          <w:sz w:val="20"/>
          <w:szCs w:val="20"/>
        </w:rPr>
        <w:t>Список використаних джерел</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Інструктивно-методичні рекомендації щодо викладання навчальних предметів у закладах загальної середньої освіти у 2025/2026 навчальному році: лист МОН України від 13.08.2025 № 1/16828-25. Доступно: </w:t>
      </w:r>
      <w:hyperlink r:id="rId147" w:tgtFrame="_new" w:history="1">
        <w:r w:rsidRPr="000E5F67">
          <w:rPr>
            <w:rFonts w:eastAsia="Calibri" w:cs="Calibri"/>
            <w:kern w:val="2"/>
            <w:sz w:val="20"/>
            <w:szCs w:val="20"/>
          </w:rPr>
          <w:t>https://mon.gov.ua/static-objects/mon/uploads/public/689/c85/369/689c85369d426859143135.pdf</w:t>
        </w:r>
      </w:hyperlink>
      <w:r w:rsidRPr="000E5F67">
        <w:rPr>
          <w:rFonts w:eastAsia="Calibri" w:cs="Calibri"/>
          <w:kern w:val="2"/>
          <w:sz w:val="20"/>
          <w:szCs w:val="20"/>
        </w:rPr>
        <w:t>.</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Модельна навчальна програма «Фізична культура. 5–9 класи»: наказ МОН України від 22.08.2024 № 1185. Доступно: </w:t>
      </w:r>
      <w:hyperlink r:id="rId148" w:tgtFrame="_new" w:history="1">
        <w:r w:rsidRPr="000E5F67">
          <w:rPr>
            <w:rFonts w:eastAsia="Calibri" w:cs="Calibri"/>
            <w:kern w:val="2"/>
            <w:sz w:val="20"/>
            <w:szCs w:val="20"/>
          </w:rPr>
          <w:t>https://rada.info/upload/users_files/43981367/a33b978f5e5944268ce30f0fba1ecba7.pdf</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Шиян БМ. Теорія і методика фізичного виховання. Ч. 1. Тернопіль: Навчальна книга–Богдан; 2006. 170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Шиян БМ, Омельяненко ІО. Теорія і методика фізичного виховання школярів. Ч. 2. Тернопіль: Навчальна книга–Богдан; 2012. 304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Круцевич ТЮ. Теорія і методика фізичного виховання. Т. 1. Київ: Олімпійська література; 2008. 391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lastRenderedPageBreak/>
        <w:t xml:space="preserve">Круцевич ТЮ, Воробйов МІ, Безверхня ГВ. Контроль у фізичному вихованні дітей, підлітків і молоді. Київ: Олімпійська література; 2011. 224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Линець ММ. Основи методики розвитку рухових якостей. Львів: Штабар; 1997. 23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Худолій ОМ. Загальні основи теорії та методики фізичного виховання. Харків: ОВС; 2007. 406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Шамардіна ГМ. Основи теорії і методики фізичного виховання. Дніпро: Пороги; 2004. 415 с. </w:t>
      </w:r>
    </w:p>
    <w:p w:rsidR="000E5F67" w:rsidRPr="000E5F67" w:rsidRDefault="000E5F67" w:rsidP="000E5F67">
      <w:pPr>
        <w:numPr>
          <w:ilvl w:val="0"/>
          <w:numId w:val="38"/>
        </w:numPr>
        <w:tabs>
          <w:tab w:val="num" w:pos="567"/>
          <w:tab w:val="left" w:pos="1276"/>
        </w:tabs>
        <w:spacing w:after="0" w:line="240" w:lineRule="auto"/>
        <w:ind w:left="0" w:firstLine="0"/>
        <w:jc w:val="both"/>
        <w:rPr>
          <w:rFonts w:eastAsia="Calibri" w:cs="Calibri"/>
          <w:kern w:val="2"/>
          <w:sz w:val="20"/>
          <w:szCs w:val="20"/>
        </w:rPr>
      </w:pPr>
      <w:r w:rsidRPr="000E5F67">
        <w:rPr>
          <w:rFonts w:eastAsia="Calibri" w:cs="Calibri"/>
          <w:kern w:val="2"/>
          <w:sz w:val="20"/>
          <w:szCs w:val="20"/>
        </w:rPr>
        <w:t>Арефьєв ВГ. Основи теорії та методики фізичного виховання : підручник. К</w:t>
      </w:r>
      <w:r w:rsidR="0004467E">
        <w:rPr>
          <w:rFonts w:eastAsia="Calibri" w:cs="Calibri"/>
          <w:kern w:val="2"/>
          <w:sz w:val="20"/>
          <w:szCs w:val="20"/>
        </w:rPr>
        <w:t>иїв: Вид-во НПУ ім. М.</w:t>
      </w:r>
      <w:r w:rsidRPr="000E5F67">
        <w:rPr>
          <w:rFonts w:eastAsia="Calibri" w:cs="Calibri"/>
          <w:kern w:val="2"/>
          <w:sz w:val="20"/>
          <w:szCs w:val="20"/>
        </w:rPr>
        <w:t>П. Драгоманова, 2010. 204 с.</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Пангелова НЄ. Теоретико-методичні основи фізичного виховання школярів. Переяслав-Хмельницький; 2018. 420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Сергієнко ЛП. Практикум з теорії і методики фізичного виховання. Харків: ОВС; 2007. С. 92–95.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Москаленко НВ, Анастасьєва ЗВ, Решетилова ВМ. Педагогічний контроль за уроками фізичної культури. Дніпропетровськ: Інновація; 2010. Доступно: </w:t>
      </w:r>
      <w:hyperlink r:id="rId149" w:tgtFrame="_new" w:history="1">
        <w:r w:rsidRPr="000E5F67">
          <w:rPr>
            <w:rFonts w:eastAsia="Calibri" w:cs="Calibri"/>
            <w:kern w:val="2"/>
            <w:sz w:val="20"/>
            <w:szCs w:val="20"/>
          </w:rPr>
          <w:t>http://infiz.dp.ua/misc-documents/repozit/ZO-A1/A1-0000-21-P1-10.pdf</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Присяжнюк СІ. Фізичне виховання. Київ: Центр учбової літератури; 2008. 504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Рябуха О, Будзин В. Смерть учнів на уроках фізичної культури: аналіз причин. Молода спортивна наука України. 2016;2:171</w:t>
      </w:r>
      <w:r w:rsidRPr="000E5F67">
        <w:rPr>
          <w:rFonts w:eastAsia="Calibri" w:cs="Calibri"/>
          <w:kern w:val="2"/>
          <w:sz w:val="20"/>
          <w:szCs w:val="20"/>
          <w:lang w:val="en-US"/>
        </w:rPr>
        <w:t>-</w:t>
      </w:r>
      <w:r w:rsidRPr="000E5F67">
        <w:rPr>
          <w:rFonts w:eastAsia="Calibri" w:cs="Calibri"/>
          <w:kern w:val="2"/>
          <w:sz w:val="20"/>
          <w:szCs w:val="20"/>
        </w:rPr>
        <w:t xml:space="preserve">4.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Андрєєва ОВ. Фізична рекреація різних груп населення. Київ: Поліграфсервіс; 2014. 280 с.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Безверхня ГВ. Контроль і оцінка фізичного стану школярів у процесі фізичного виховання. Фізичне виховання, спорт і культура здоров’я у сучасному суспільстві. 2019;(2):24</w:t>
      </w:r>
      <w:r w:rsidRPr="000E5F67">
        <w:rPr>
          <w:rFonts w:eastAsia="Calibri" w:cs="Calibri"/>
          <w:kern w:val="2"/>
          <w:sz w:val="20"/>
          <w:szCs w:val="20"/>
          <w:lang w:val="en-US"/>
        </w:rPr>
        <w:t>-</w:t>
      </w:r>
      <w:r w:rsidRPr="000E5F67">
        <w:rPr>
          <w:rFonts w:eastAsia="Calibri" w:cs="Calibri"/>
          <w:kern w:val="2"/>
          <w:sz w:val="20"/>
          <w:szCs w:val="20"/>
        </w:rPr>
        <w:t xml:space="preserve">30.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Wang W, Liu C. Study on exercise intensity level and heart rate standard for promoting physical health of middle school students. Educ Reform Dev. 2025;7(5). </w:t>
      </w:r>
      <w:hyperlink r:id="rId150" w:history="1">
        <w:r w:rsidRPr="000E5F67">
          <w:rPr>
            <w:rFonts w:eastAsia="Calibri" w:cs="Calibri"/>
            <w:color w:val="0563C1"/>
            <w:kern w:val="2"/>
            <w:sz w:val="20"/>
            <w:szCs w:val="20"/>
            <w:u w:val="single"/>
          </w:rPr>
          <w:t>https://doi.org/10.26689/erd.v7i5.10579</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 w:val="left" w:pos="1276"/>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Арефьєв В.Г. Сучасні аспекти диференційованого програмування розвивально-оздоровчих занять з фізичної культури учнів загальноосвітньої школи. </w:t>
      </w:r>
      <w:r w:rsidRPr="000E5F67">
        <w:rPr>
          <w:rFonts w:eastAsia="Calibri" w:cs="Calibri"/>
          <w:iCs/>
          <w:kern w:val="2"/>
          <w:sz w:val="20"/>
          <w:szCs w:val="20"/>
        </w:rPr>
        <w:t>Науковий часопис Українського державного університету імені Михайла Драгоманова. Серія 15.</w:t>
      </w:r>
      <w:r w:rsidRPr="000E5F67">
        <w:rPr>
          <w:rFonts w:eastAsia="Calibri" w:cs="Calibri"/>
          <w:kern w:val="2"/>
          <w:sz w:val="20"/>
          <w:szCs w:val="20"/>
        </w:rPr>
        <w:t xml:space="preserve"> 2021</w:t>
      </w:r>
      <w:r w:rsidRPr="000E5F67">
        <w:rPr>
          <w:rFonts w:eastAsia="Calibri" w:cs="Calibri"/>
          <w:kern w:val="2"/>
          <w:sz w:val="20"/>
          <w:szCs w:val="20"/>
          <w:lang w:val="en-US"/>
        </w:rPr>
        <w:t>;</w:t>
      </w:r>
      <w:r w:rsidRPr="000E5F67">
        <w:rPr>
          <w:rFonts w:eastAsia="Calibri" w:cs="Calibri"/>
          <w:kern w:val="2"/>
          <w:sz w:val="20"/>
          <w:szCs w:val="20"/>
        </w:rPr>
        <w:t xml:space="preserve"> 9 (50)</w:t>
      </w:r>
      <w:r w:rsidRPr="000E5F67">
        <w:rPr>
          <w:rFonts w:eastAsia="Calibri" w:cs="Calibri"/>
          <w:kern w:val="2"/>
          <w:sz w:val="20"/>
          <w:szCs w:val="20"/>
          <w:lang w:val="en-US"/>
        </w:rPr>
        <w:t>:</w:t>
      </w:r>
      <w:r w:rsidRPr="000E5F67">
        <w:rPr>
          <w:rFonts w:eastAsia="Calibri" w:cs="Calibri"/>
          <w:kern w:val="2"/>
          <w:sz w:val="20"/>
          <w:szCs w:val="20"/>
        </w:rPr>
        <w:t>12-6.</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Сороколіт Н, Ткачук В, Маланчук Г. Цифрові застосунки як інноваційні засоби підвищення ефективності уроків фізичної культури. Вісник Прикарпатського університету. Серія: Фізична культура. 2025;(44):64</w:t>
      </w:r>
      <w:r w:rsidRPr="000E5F67">
        <w:rPr>
          <w:rFonts w:eastAsia="Calibri" w:cs="Calibri"/>
          <w:kern w:val="2"/>
          <w:sz w:val="20"/>
          <w:szCs w:val="20"/>
          <w:lang w:val="en-US"/>
        </w:rPr>
        <w:t>-</w:t>
      </w:r>
      <w:r w:rsidRPr="000E5F67">
        <w:rPr>
          <w:rFonts w:eastAsia="Calibri" w:cs="Calibri"/>
          <w:kern w:val="2"/>
          <w:sz w:val="20"/>
          <w:szCs w:val="20"/>
        </w:rPr>
        <w:t xml:space="preserve">8. doi: 10.15330/fcult.44.64-68.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Гейтенко ВВ, Шинкарьов СІ, Шинкарьова НГ. Використання цифрових технологій на уроці фізичної культури в умовах нової української школи. Олімпійський та паралімпійський спорт. 2025;(1):21</w:t>
      </w:r>
      <w:r w:rsidRPr="000E5F67">
        <w:rPr>
          <w:rFonts w:eastAsia="Calibri" w:cs="Calibri"/>
          <w:kern w:val="2"/>
          <w:sz w:val="20"/>
          <w:szCs w:val="20"/>
          <w:lang w:val="en-US"/>
        </w:rPr>
        <w:t>-</w:t>
      </w:r>
      <w:r w:rsidRPr="000E5F67">
        <w:rPr>
          <w:rFonts w:eastAsia="Calibri" w:cs="Calibri"/>
          <w:kern w:val="2"/>
          <w:sz w:val="20"/>
          <w:szCs w:val="20"/>
        </w:rPr>
        <w:t xml:space="preserve">5. </w:t>
      </w:r>
      <w:hyperlink r:id="rId151" w:history="1">
        <w:r w:rsidRPr="000E5F67">
          <w:rPr>
            <w:rFonts w:eastAsia="Calibri" w:cs="Calibri"/>
            <w:color w:val="0563C1"/>
            <w:kern w:val="2"/>
            <w:sz w:val="20"/>
            <w:szCs w:val="20"/>
            <w:u w:val="single"/>
          </w:rPr>
          <w:t>https://doi.org/10.32782/olimpspu/2025.1.4</w:t>
        </w:r>
      </w:hyperlink>
      <w:r w:rsidRPr="000E5F67">
        <w:rPr>
          <w:rFonts w:eastAsia="Calibri" w:cs="Calibri"/>
          <w:kern w:val="2"/>
          <w:sz w:val="20"/>
          <w:szCs w:val="20"/>
          <w:lang w:val="en-US"/>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bCs/>
          <w:kern w:val="2"/>
          <w:sz w:val="20"/>
          <w:szCs w:val="20"/>
          <w:lang w:eastAsia="uk-UA"/>
        </w:rPr>
        <w:t xml:space="preserve">Філенко Л, Церковна О, Пасько В, Філенко І, Палічук Ю. </w:t>
      </w:r>
      <w:r w:rsidRPr="000E5F67">
        <w:rPr>
          <w:rFonts w:eastAsia="Calibri" w:cs="Calibri"/>
          <w:kern w:val="2"/>
          <w:sz w:val="20"/>
          <w:szCs w:val="20"/>
        </w:rPr>
        <w:t xml:space="preserve">Інформаційні технології on-line навчання з фізичної культури. Науково-методичні основи використання інформаційних технологій в галузі фізичної культури і спорту. 2023;(7):142–155. Доступно: </w:t>
      </w:r>
      <w:hyperlink r:id="rId152" w:tgtFrame="_new" w:history="1">
        <w:r w:rsidRPr="000E5F67">
          <w:rPr>
            <w:rFonts w:eastAsia="Calibri" w:cs="Calibri"/>
            <w:kern w:val="2"/>
            <w:sz w:val="20"/>
            <w:szCs w:val="20"/>
          </w:rPr>
          <w:t>http://ven.ztu.edu.ua/index.php/wissn009/article/view/132643</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Про освіту: Закон України від 05.09.2017 № 2145-VIII. Доступно: </w:t>
      </w:r>
      <w:hyperlink r:id="rId153" w:tgtFrame="_new" w:history="1">
        <w:r w:rsidRPr="000E5F67">
          <w:rPr>
            <w:rFonts w:eastAsia="Calibri" w:cs="Calibri"/>
            <w:kern w:val="2"/>
            <w:sz w:val="20"/>
            <w:szCs w:val="20"/>
          </w:rPr>
          <w:t>https://zakon.rada.gov.ua/laws/show/2145-19</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Про повну загальну середню освіту: Закон України від 16.01.2020 № 463-IX. Доступно: </w:t>
      </w:r>
      <w:hyperlink r:id="rId154" w:tgtFrame="_new" w:history="1">
        <w:r w:rsidRPr="000E5F67">
          <w:rPr>
            <w:rFonts w:eastAsia="Calibri" w:cs="Calibri"/>
            <w:kern w:val="2"/>
            <w:sz w:val="20"/>
            <w:szCs w:val="20"/>
          </w:rPr>
          <w:t>https://zakon.rada.gov.ua/laws/show/463-20</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Концепція Нової української школи: схвалена рішенням Колегії МОН України від 27.10.2016. Доступно: </w:t>
      </w:r>
      <w:hyperlink r:id="rId155" w:tgtFrame="_new" w:history="1">
        <w:r w:rsidRPr="000E5F67">
          <w:rPr>
            <w:rFonts w:eastAsia="Calibri" w:cs="Calibri"/>
            <w:kern w:val="2"/>
            <w:sz w:val="20"/>
            <w:szCs w:val="20"/>
          </w:rPr>
          <w:t>https://roippo.org.ua/images/downloads/nush/kontsepts_ya_novo_ukra_nsko_shkoli_.pdf</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Державний стандарт базової середньої освіти: постанова Кабінету Міністрів України від 30.09.2020 № 898. Доступно: </w:t>
      </w:r>
      <w:hyperlink r:id="rId156" w:tgtFrame="_new" w:history="1">
        <w:r w:rsidRPr="000E5F67">
          <w:rPr>
            <w:rFonts w:eastAsia="Calibri" w:cs="Calibri"/>
            <w:kern w:val="2"/>
            <w:sz w:val="20"/>
            <w:szCs w:val="20"/>
          </w:rPr>
          <w:t>https://zakon.rada.gov.ua/laws/show/898-2020-п</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Державний стандарт базової та повної загальної середньої освіти: постанова Кабінету Міністрів України від 23.11.2011 № 1392. Доступно: </w:t>
      </w:r>
      <w:hyperlink r:id="rId157" w:tgtFrame="_new" w:history="1">
        <w:r w:rsidRPr="000E5F67">
          <w:rPr>
            <w:rFonts w:eastAsia="Calibri" w:cs="Calibri"/>
            <w:kern w:val="2"/>
            <w:sz w:val="20"/>
            <w:szCs w:val="20"/>
          </w:rPr>
          <w:t>https://zakon.rada.gov.ua/laws/show/1392-2011-п</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Вчитель закладу загальної середньої освіти. Професійний стандарт: наказ МОН України від 29.08.2024 № 1225. Доступно: </w:t>
      </w:r>
      <w:hyperlink r:id="rId158" w:tgtFrame="_new" w:history="1">
        <w:r w:rsidRPr="000E5F67">
          <w:rPr>
            <w:rFonts w:eastAsia="Calibri" w:cs="Calibri"/>
            <w:kern w:val="2"/>
            <w:sz w:val="20"/>
            <w:szCs w:val="20"/>
          </w:rPr>
          <w:t>https://mon.gov.ua/static-objects/mon/uploads/public/66e/806/fcb/66e806fcb90e2017837434.pdf</w:t>
        </w:r>
      </w:hyperlink>
      <w:r w:rsidRPr="000E5F67">
        <w:rPr>
          <w:rFonts w:eastAsia="Calibri" w:cs="Calibri"/>
          <w:kern w:val="2"/>
          <w:sz w:val="20"/>
          <w:szCs w:val="20"/>
        </w:rPr>
        <w:t>.</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Положення про медико-педагогічний контроль за фізичним вихованням учнів: наказ МОЗ України, МОН України від 20.07.2009 № 518/674. Доступно: </w:t>
      </w:r>
      <w:hyperlink r:id="rId159" w:tgtFrame="_new" w:history="1">
        <w:r w:rsidRPr="000E5F67">
          <w:rPr>
            <w:rFonts w:eastAsia="Calibri" w:cs="Calibri"/>
            <w:kern w:val="2"/>
            <w:sz w:val="20"/>
            <w:szCs w:val="20"/>
          </w:rPr>
          <w:t>https://zakon.rada.gov.ua/laws/show/z0772-09</w:t>
        </w:r>
      </w:hyperlink>
      <w:r w:rsidRPr="000E5F67">
        <w:rPr>
          <w:rFonts w:eastAsia="Calibri" w:cs="Calibri"/>
          <w:kern w:val="2"/>
          <w:sz w:val="20"/>
          <w:szCs w:val="20"/>
        </w:rPr>
        <w:t xml:space="preserve">. </w:t>
      </w:r>
    </w:p>
    <w:p w:rsidR="000E5F67" w:rsidRPr="000E5F67" w:rsidRDefault="000E5F67" w:rsidP="000E5F67">
      <w:pPr>
        <w:numPr>
          <w:ilvl w:val="0"/>
          <w:numId w:val="38"/>
        </w:numPr>
        <w:tabs>
          <w:tab w:val="num" w:pos="567"/>
        </w:tabs>
        <w:spacing w:after="0" w:line="240" w:lineRule="auto"/>
        <w:ind w:left="0" w:firstLine="0"/>
        <w:jc w:val="both"/>
        <w:rPr>
          <w:rFonts w:eastAsia="Calibri" w:cs="Calibri"/>
          <w:kern w:val="2"/>
          <w:sz w:val="20"/>
          <w:szCs w:val="20"/>
        </w:rPr>
      </w:pPr>
      <w:r w:rsidRPr="000E5F67">
        <w:rPr>
          <w:rFonts w:eastAsia="Calibri" w:cs="Calibri"/>
          <w:kern w:val="2"/>
          <w:sz w:val="20"/>
          <w:szCs w:val="20"/>
        </w:rPr>
        <w:t xml:space="preserve">Правила безпеки під час проведення занять з фізичної культури і спорту: наказ МОН України від 01.06.2010 № 521. Доступно: </w:t>
      </w:r>
      <w:hyperlink r:id="rId160" w:tgtFrame="_new" w:history="1">
        <w:r w:rsidRPr="000E5F67">
          <w:rPr>
            <w:rFonts w:eastAsia="Calibri" w:cs="Calibri"/>
            <w:kern w:val="2"/>
            <w:sz w:val="20"/>
            <w:szCs w:val="20"/>
          </w:rPr>
          <w:t>https://zakon.rada.gov.ua/laws/show/z0651-10</w:t>
        </w:r>
      </w:hyperlink>
      <w:r w:rsidRPr="000E5F67">
        <w:rPr>
          <w:rFonts w:eastAsia="Calibri" w:cs="Calibri"/>
          <w:kern w:val="2"/>
          <w:sz w:val="20"/>
          <w:szCs w:val="20"/>
        </w:rPr>
        <w:t xml:space="preserve">. </w:t>
      </w:r>
    </w:p>
    <w:p w:rsidR="000E5F67" w:rsidRPr="000E5F67" w:rsidRDefault="000E5F67" w:rsidP="000E5F67">
      <w:pPr>
        <w:tabs>
          <w:tab w:val="num" w:pos="567"/>
        </w:tabs>
        <w:spacing w:after="0" w:line="240" w:lineRule="auto"/>
        <w:jc w:val="both"/>
        <w:rPr>
          <w:rFonts w:eastAsia="Calibri" w:cs="Calibri"/>
          <w:kern w:val="2"/>
          <w:sz w:val="20"/>
          <w:szCs w:val="20"/>
        </w:rPr>
      </w:pPr>
    </w:p>
    <w:p w:rsidR="000E5F67" w:rsidRPr="000E5F67" w:rsidRDefault="000E5F67" w:rsidP="000E5F67">
      <w:pPr>
        <w:tabs>
          <w:tab w:val="num" w:pos="567"/>
        </w:tabs>
        <w:spacing w:after="0" w:line="240" w:lineRule="auto"/>
        <w:jc w:val="center"/>
        <w:rPr>
          <w:rFonts w:eastAsia="Calibri" w:cs="Calibri"/>
          <w:b/>
          <w:bCs/>
          <w:kern w:val="2"/>
          <w:sz w:val="20"/>
          <w:szCs w:val="20"/>
        </w:rPr>
      </w:pPr>
      <w:r w:rsidRPr="000E5F67">
        <w:rPr>
          <w:rFonts w:eastAsia="Calibri" w:cs="Calibri"/>
          <w:b/>
          <w:bCs/>
          <w:kern w:val="2"/>
          <w:sz w:val="20"/>
          <w:szCs w:val="20"/>
        </w:rPr>
        <w:t>References</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Ministry of Education and Science of Ukraine. Instruktyvno-metodychni rekomendatsii shchodo vykladannia navchalnykh predmetiv u zakladakh zahalnoi serednoi osvity u 2025/2026 navchalnomu rotsi: lyst vid 13 Aug 2025 No. 1/16828-25 [Instructional guidelines for teaching subjects in 2025/2026]. Available from: </w:t>
      </w:r>
      <w:hyperlink r:id="rId161" w:history="1">
        <w:r w:rsidRPr="000E5F67">
          <w:rPr>
            <w:rFonts w:eastAsia="Calibri" w:cs="Calibri"/>
            <w:color w:val="0563C1"/>
            <w:kern w:val="2"/>
            <w:sz w:val="20"/>
            <w:szCs w:val="20"/>
            <w:u w:val="single"/>
          </w:rPr>
          <w:t>https://mon.gov.ua/static-objects/mon/uploads/public/689/c85/ 369/689c85369d426859143135.pdf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Ministry of Education and Science of Ukraine. Modelna navchalna prohrama “Fizychna kultura. 5–9 klasy”: nakaz vid 22 Aug 2024 No. 1185 [Model curriculum “Physical culture. Grades 5–9”]. Available from: </w:t>
      </w:r>
      <w:hyperlink r:id="rId162" w:tgtFrame="_new" w:history="1">
        <w:r w:rsidRPr="000E5F67">
          <w:rPr>
            <w:rFonts w:eastAsia="Calibri" w:cs="Calibri"/>
            <w:kern w:val="2"/>
            <w:sz w:val="20"/>
            <w:szCs w:val="20"/>
          </w:rPr>
          <w:t>https://rada.info/upload/users_files/43981367/a33b978f5e5944268ce30f0fba1ecba7.pdf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Shyian BM. Teoriia i metodyka fizychnoho vykhovannia. Part 1 [Theory and methods of physical education]. Ternopil: Navchalna knyha–Bohdan; 2006. 170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lastRenderedPageBreak/>
        <w:t xml:space="preserve">Shyian BM, Omelianenko IO. Teoriia i metodyka fizychnoho vykhovannia shkoliariv. Part 2 [Theory and methods of Physical education of schoolchildren]. Ternopil: Navchalna knyha–Bohdan; 2012. 304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Krutsevych TYu. Teoriia i metodyka fizychnoho vykhovannia. Vol. 1 [Theory and methods of physical education]. Kyiv: Olimpiiska literatura; 2008. 391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Krutsevych TYu, Vorobiov MI, Bezverkhnia HV. Kontrol u fizychnomu vykhovanni ditei, pidlitkiv i molodi [Control in physical education of youth]. Kyiv: Olimpiiska literatura; 2011. 224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Lynets MM. Osnovy metodyky rozvytku rukhovykh yakostei [Motor abilities development methods]. Lviv: Shtabar; 1997. 23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Khudolii OM. Zahalni osnovy teorii ta metodyky fizychnoho vykhovannia [General foundations of physical education theory]. Kharkiv: OVS; 2007. 406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Shamardina HM. Osnovy teorii i metodyky fizychnoho vykhovannia [Foundations of physical education]. Dnipro: Porohy; 2004. 415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Arefiev VG. Osnovy teorii ta metodyky fizychnoho vykhovannia [Fundamentals of theory and methods of physical education]. Kyiv: Vyd-vo NPU im. M. P. Drahomanova; 2010. 204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Panhelova NYe. Teoretyko-metodychni osnovy fizychnoho vykhovannia shkoliariv [Foundations of physical education of schoolchildren]. Pereiaslav-Khmelnytskyi; 2018. 420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Serhiienko LP. Praktykum z teorii i metodyky fizychnoho vykhovannia [Workshop on physical education theory]. Kharkiv: OVS; 2007. P. 92-5.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Moskalenko NV, Anastasieva ZV, Reshetylova VM. Pedahohichnyi kontrol za urokamy fizychnoi kultury [Pedagogical control of physical education lessons]. Dnipropetrovsk: Innovatsiia; 2010. Available from: </w:t>
      </w:r>
      <w:hyperlink r:id="rId163" w:tgtFrame="_new" w:history="1">
        <w:r w:rsidRPr="000E5F67">
          <w:rPr>
            <w:rFonts w:eastAsia="Calibri" w:cs="Calibri"/>
            <w:kern w:val="2"/>
            <w:sz w:val="20"/>
            <w:szCs w:val="20"/>
          </w:rPr>
          <w:t>http://infiz.dp.ua/misc-documents/repozit/ZO-A1/A1-0000-21-P1-10.pdf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Prysiazhniuk SI. Fizychne vykhovannia [Physical education]. Kyiv: Tsentr</w:t>
      </w:r>
      <w:r w:rsidR="0004467E">
        <w:rPr>
          <w:rFonts w:eastAsia="Calibri" w:cs="Calibri"/>
          <w:kern w:val="2"/>
          <w:sz w:val="20"/>
          <w:szCs w:val="20"/>
        </w:rPr>
        <w:t xml:space="preserve"> uchbovoi literatury; 2008. 504 </w:t>
      </w:r>
      <w:r w:rsidRPr="000E5F67">
        <w:rPr>
          <w:rFonts w:eastAsia="Calibri" w:cs="Calibri"/>
          <w:kern w:val="2"/>
          <w:sz w:val="20"/>
          <w:szCs w:val="20"/>
        </w:rPr>
        <w:t xml:space="preserve">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Riabukha O, Budzyn V. Smert uchniv na urokakh fizychnoi kultury: analiz prychyn [Deaths in physical education lessons: analysis]. Moloda sportyvna nauka Ukrainy. 2016;2:171-4.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Andrieieva OV. Fizychna rekreatsiia riznykh hrup naselennia [Physical recreation of different population groups]. Kyiv: Polihrafservis; 2014. 280 p.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Bezverkhnia HV. Kontrol i otsinka fizychnoho stanu shkoliariv u protsesi fizychnoho vykhovannia [Assessment of physical condition of schoolchildren]. Fizychne vykhovannia, sport i kultura zdorovia u suchasnomu suspilstvi. 2019;(2):24</w:t>
      </w:r>
      <w:r w:rsidRPr="000E5F67">
        <w:rPr>
          <w:rFonts w:eastAsia="Calibri" w:cs="Calibri"/>
          <w:kern w:val="2"/>
          <w:sz w:val="20"/>
          <w:szCs w:val="20"/>
          <w:lang w:val="en-US"/>
        </w:rPr>
        <w:t>-</w:t>
      </w:r>
      <w:r w:rsidRPr="000E5F67">
        <w:rPr>
          <w:rFonts w:eastAsia="Calibri" w:cs="Calibri"/>
          <w:kern w:val="2"/>
          <w:sz w:val="20"/>
          <w:szCs w:val="20"/>
        </w:rPr>
        <w:t xml:space="preserve">30.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Wang W, Liu C. Study on exercise intensity level and heart rate standard for promoting physical health of middle school students. Educ Reform Dev. 2025;7(5). </w:t>
      </w:r>
      <w:hyperlink r:id="rId164" w:history="1">
        <w:r w:rsidRPr="000E5F67">
          <w:rPr>
            <w:rFonts w:eastAsia="Calibri" w:cs="Calibri"/>
            <w:color w:val="0563C1"/>
            <w:kern w:val="2"/>
            <w:sz w:val="20"/>
            <w:szCs w:val="20"/>
            <w:u w:val="single"/>
          </w:rPr>
          <w:t>https://doi.org/10.26689/erd.v7i5.10579</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Arefiev VG. Suchasni aspekty dyferentsiiovanoho prohramuvannia rozvyvalno-ozdorovchykh zaniat z fizychnoi kultury uchniv zahalnoosvitnoi shkoly [Modern aspects of differentiated programming in physical education]. Naukovyi chasopys Ukrainskoho derzhavnoho universytetu imeni Mykhaila Drahomanova. Seriia 15. 2021;(9):12-6.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Sorokolit N, Tkachuk V, Malanchuk H. Tsyfrovi zastosunky yak innovatsiini zasoby pidvyshchennia efektyvnosti urokiv fizychnoi kultury [Digital applications in physical education]. Visnyk Prykarpatskoho universytetu. Seriia: Fizychna kultura. 2025;(44):64-8. doi: 10.15330/fcult.44.64-68.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Heitenko VV, Shynkarov SI, Shynkarova NH. Vykorystannia tsyfrovykh tekhnolohii na urotsi fizychnoi kultury v umovakh novoi ukrainskoi shkoly [Use of digital technologies in physical education lessons]. Olimpiiskyi ta paralimpiiskyi sport. 2025;(1):21-5. </w:t>
      </w:r>
      <w:hyperlink r:id="rId165" w:history="1">
        <w:r w:rsidRPr="000E5F67">
          <w:rPr>
            <w:rFonts w:eastAsia="Calibri" w:cs="Calibri"/>
            <w:color w:val="0563C1"/>
            <w:kern w:val="2"/>
            <w:sz w:val="20"/>
            <w:szCs w:val="20"/>
            <w:u w:val="single"/>
          </w:rPr>
          <w:t>https://doi.org/10.32782/olimpspu/2025.1.4</w:t>
        </w:r>
      </w:hyperlink>
      <w:r w:rsidRPr="000E5F67">
        <w:rPr>
          <w:rFonts w:eastAsia="Calibri" w:cs="Calibri"/>
          <w:kern w:val="2"/>
          <w:sz w:val="20"/>
          <w:szCs w:val="20"/>
          <w:lang w:val="en-US"/>
        </w:rPr>
        <w:t>.</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Filenko L, Tserkovnaya O, Pasko V, Filenko I. Informatsiini tekhnolohii on-line navchannia z fizychnoi kultury [Online technologies in physical education]. Naukovo-metodychni osnovy vykorystannia informatsiinykh tekhnolohii v haluzi fizychnoi kultury i sportu. 2023;(7):142–55. Available from: </w:t>
      </w:r>
      <w:hyperlink r:id="rId166" w:tgtFrame="_new" w:history="1">
        <w:r w:rsidRPr="000E5F67">
          <w:rPr>
            <w:rFonts w:eastAsia="Calibri" w:cs="Calibri"/>
            <w:kern w:val="2"/>
            <w:sz w:val="20"/>
            <w:szCs w:val="20"/>
          </w:rPr>
          <w:t>http://ven.ztu.edu.ua/index.php/wissn009/article/view/132643</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Verkhovna Rada of Ukraine. Pro osvitu: Zakon Ukrainy vid 05 Sep 2017 No. 2145-VIII [On Education]. Available from: </w:t>
      </w:r>
      <w:hyperlink r:id="rId167" w:tgtFrame="_new" w:history="1">
        <w:r w:rsidRPr="000E5F67">
          <w:rPr>
            <w:rFonts w:eastAsia="Calibri" w:cs="Calibri"/>
            <w:kern w:val="2"/>
            <w:sz w:val="20"/>
            <w:szCs w:val="20"/>
          </w:rPr>
          <w:t>https://zakon.rada.gov.ua/laws/show/2145-19</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Verkhovna Rada of Ukraine. Pro povnu zahalnu seredniu osvitu: Zakon Ukrainy vid 16 Jan 2020 No. 463-IX [On complete general secondary education]. Available from: </w:t>
      </w:r>
      <w:hyperlink r:id="rId168" w:tgtFrame="_new" w:history="1">
        <w:r w:rsidRPr="000E5F67">
          <w:rPr>
            <w:rFonts w:eastAsia="Calibri" w:cs="Calibri"/>
            <w:kern w:val="2"/>
            <w:sz w:val="20"/>
            <w:szCs w:val="20"/>
          </w:rPr>
          <w:t>https://zakon.rada.gov.ua/laws/show/463-20</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Cs w:val="22"/>
        </w:rPr>
      </w:pPr>
      <w:r w:rsidRPr="000E5F67">
        <w:rPr>
          <w:rFonts w:eastAsia="Calibri" w:cs="Calibri"/>
          <w:kern w:val="2"/>
          <w:sz w:val="20"/>
          <w:szCs w:val="20"/>
        </w:rPr>
        <w:t xml:space="preserve">Ministry of Education and Science of Ukraine. Kontseptsiia Novoi ukrainskoi shkoly (2016) [Concept of the New Ukrainian School]. Available from: </w:t>
      </w:r>
      <w:hyperlink r:id="rId169" w:history="1">
        <w:r w:rsidRPr="000E5F67">
          <w:rPr>
            <w:rFonts w:eastAsia="Calibri" w:cs="Calibri"/>
            <w:color w:val="0563C1"/>
            <w:kern w:val="2"/>
            <w:sz w:val="20"/>
            <w:szCs w:val="20"/>
            <w:u w:val="single"/>
          </w:rPr>
          <w:t>https://roippo.org.ua/images/downloads/nush/kontsepts_ya_novo_ukra _nsko_shkoli_.pdf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Cabinet of Ministers of Ukraine. Derzhavnyi standart bazovoi serednoi osvity: Postanova vid 30 Sep 2020 No. 898 [State standard of basic secondary education]. Available from: </w:t>
      </w:r>
      <w:hyperlink r:id="rId170" w:tgtFrame="_new" w:history="1">
        <w:r w:rsidRPr="000E5F67">
          <w:rPr>
            <w:rFonts w:eastAsia="Calibri" w:cs="Calibri"/>
            <w:kern w:val="2"/>
            <w:sz w:val="20"/>
            <w:szCs w:val="20"/>
          </w:rPr>
          <w:t>https://zakon.rada.gov.ua/laws/show/898-2020-%D0%BF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Cabinet of Ministers of Ukraine. Derzhavnyi standart bazovoi ta povnoi zahalnoi serednoi osvity: Postanova vid 23 Nov 2011 No. 1392 [State standard of general secondary education]. Available from: </w:t>
      </w:r>
      <w:hyperlink r:id="rId171" w:tgtFrame="_new" w:history="1">
        <w:r w:rsidRPr="000E5F67">
          <w:rPr>
            <w:rFonts w:eastAsia="Calibri" w:cs="Calibri"/>
            <w:kern w:val="2"/>
            <w:sz w:val="20"/>
            <w:szCs w:val="20"/>
          </w:rPr>
          <w:t>https://zakon.rada.gov.ua/laws/show/1392-2011-%D0%BF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lastRenderedPageBreak/>
        <w:t xml:space="preserve">Ministry of Education and Science of Ukraine. Vchytel zakladu zahalnoi serednoi osvity. Profesiinyi standart: nakaz vid 29 Aug 2024 No. 1225 [Teacher professional standard]. Available from: </w:t>
      </w:r>
      <w:hyperlink r:id="rId172" w:tgtFrame="_new" w:history="1">
        <w:r w:rsidRPr="000E5F67">
          <w:rPr>
            <w:rFonts w:eastAsia="Calibri" w:cs="Calibri"/>
            <w:kern w:val="2"/>
            <w:sz w:val="20"/>
            <w:szCs w:val="20"/>
          </w:rPr>
          <w:t>https://mon.gov.ua/static-objects/mon/uploads/public/66e/806/fcb/66e806fcb90e2017837434.pdf</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Ministry of Health of Ukraine; Ministry of Education and Science of Ukraine. Polozhennia pro medyko-pedahohichnyi kontrol: nakaz vid 20 Jul 2009 No. 518/674 [Medical-pedagogical control regulation]. Available from: </w:t>
      </w:r>
      <w:hyperlink r:id="rId173" w:tgtFrame="_new" w:history="1">
        <w:r w:rsidRPr="000E5F67">
          <w:rPr>
            <w:rFonts w:eastAsia="Calibri" w:cs="Calibri"/>
            <w:kern w:val="2"/>
            <w:sz w:val="20"/>
            <w:szCs w:val="20"/>
          </w:rPr>
          <w:t>https://zakon.rada.gov.ua/laws/show/z0772-09</w:t>
        </w:r>
      </w:hyperlink>
      <w:r w:rsidRPr="000E5F67">
        <w:rPr>
          <w:rFonts w:eastAsia="Calibri" w:cs="Calibri"/>
          <w:kern w:val="2"/>
          <w:sz w:val="20"/>
          <w:szCs w:val="20"/>
        </w:rPr>
        <w:t xml:space="preserve">. </w:t>
      </w:r>
    </w:p>
    <w:p w:rsidR="000E5F67" w:rsidRPr="000E5F67" w:rsidRDefault="000E5F67" w:rsidP="000E5F67">
      <w:pPr>
        <w:numPr>
          <w:ilvl w:val="0"/>
          <w:numId w:val="39"/>
        </w:numPr>
        <w:tabs>
          <w:tab w:val="num" w:pos="567"/>
        </w:tabs>
        <w:spacing w:after="0" w:line="240" w:lineRule="auto"/>
        <w:ind w:left="0" w:firstLine="0"/>
        <w:contextualSpacing/>
        <w:jc w:val="both"/>
        <w:rPr>
          <w:rFonts w:eastAsia="Calibri" w:cs="Calibri"/>
          <w:kern w:val="2"/>
          <w:sz w:val="20"/>
          <w:szCs w:val="20"/>
        </w:rPr>
      </w:pPr>
      <w:r w:rsidRPr="000E5F67">
        <w:rPr>
          <w:rFonts w:eastAsia="Calibri" w:cs="Calibri"/>
          <w:kern w:val="2"/>
          <w:sz w:val="20"/>
          <w:szCs w:val="20"/>
        </w:rPr>
        <w:t xml:space="preserve">Ministry of Education and Science of Ukraine. Pravyla bezpeky pid chas zaniat z fizychnoi kultury: nakaz vid 01 Jun 2010 No. 521 [Safety rules for physical education classes]. Available from: </w:t>
      </w:r>
      <w:hyperlink r:id="rId174" w:tgtFrame="_new" w:history="1">
        <w:r w:rsidRPr="000E5F67">
          <w:rPr>
            <w:rFonts w:eastAsia="Calibri" w:cs="Calibri"/>
            <w:kern w:val="2"/>
            <w:sz w:val="20"/>
            <w:szCs w:val="20"/>
          </w:rPr>
          <w:t>https://zakon.rada.gov.ua/laws/show/z0651-10</w:t>
        </w:r>
      </w:hyperlink>
      <w:r w:rsidRPr="000E5F67">
        <w:rPr>
          <w:rFonts w:eastAsia="Calibri" w:cs="Calibri"/>
          <w:kern w:val="2"/>
          <w:sz w:val="20"/>
          <w:szCs w:val="20"/>
        </w:rPr>
        <w:t>.</w:t>
      </w:r>
    </w:p>
    <w:p w:rsidR="000E5F67" w:rsidRPr="000E5F67" w:rsidRDefault="000E5F67" w:rsidP="000E5F67">
      <w:pPr>
        <w:spacing w:after="160" w:line="240" w:lineRule="auto"/>
        <w:rPr>
          <w:rFonts w:eastAsia="Calibri" w:cs="Calibri"/>
          <w:kern w:val="2"/>
          <w:sz w:val="20"/>
          <w:szCs w:val="20"/>
        </w:rPr>
      </w:pPr>
    </w:p>
    <w:p w:rsidR="000E5F67" w:rsidRPr="000E5F67" w:rsidRDefault="000E5F67" w:rsidP="000E5F67">
      <w:pPr>
        <w:autoSpaceDE w:val="0"/>
        <w:autoSpaceDN w:val="0"/>
        <w:adjustRightInd w:val="0"/>
        <w:spacing w:after="0" w:line="240" w:lineRule="auto"/>
        <w:ind w:left="720"/>
        <w:jc w:val="both"/>
        <w:rPr>
          <w:rFonts w:eastAsia="Calibri"/>
          <w:sz w:val="20"/>
          <w:szCs w:val="20"/>
        </w:rPr>
      </w:pPr>
    </w:p>
    <w:tbl>
      <w:tblPr>
        <w:tblStyle w:val="100"/>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0E5F67" w:rsidRPr="000E5F67" w:rsidTr="000E5F67">
        <w:tc>
          <w:tcPr>
            <w:tcW w:w="9286" w:type="dxa"/>
            <w:shd w:val="clear" w:color="auto" w:fill="BFBFBF"/>
          </w:tcPr>
          <w:p w:rsidR="000E5F67" w:rsidRPr="000E5F67" w:rsidRDefault="000E5F67" w:rsidP="000E5F67">
            <w:pPr>
              <w:spacing w:after="0"/>
              <w:jc w:val="both"/>
              <w:rPr>
                <w:rFonts w:eastAsia="SimSun"/>
                <w:b/>
                <w:sz w:val="20"/>
                <w:szCs w:val="20"/>
                <w:lang w:val="en-US" w:eastAsia="zh-CN"/>
              </w:rPr>
            </w:pPr>
            <w:r w:rsidRPr="000E5F67">
              <w:rPr>
                <w:rFonts w:eastAsia="SimSun"/>
                <w:b/>
                <w:sz w:val="20"/>
                <w:szCs w:val="24"/>
                <w:lang w:val="en-US" w:eastAsia="zh-CN"/>
              </w:rPr>
              <w:t>Цитування на</w:t>
            </w:r>
            <w:r w:rsidRPr="000E5F67">
              <w:rPr>
                <w:rFonts w:eastAsia="SimSun"/>
                <w:b/>
                <w:spacing w:val="2"/>
                <w:sz w:val="20"/>
                <w:szCs w:val="24"/>
                <w:lang w:val="en-US" w:eastAsia="zh-CN"/>
              </w:rPr>
              <w:t xml:space="preserve"> </w:t>
            </w:r>
            <w:r w:rsidRPr="000E5F67">
              <w:rPr>
                <w:rFonts w:eastAsia="SimSun"/>
                <w:b/>
                <w:sz w:val="20"/>
                <w:szCs w:val="24"/>
                <w:lang w:val="en-US" w:eastAsia="zh-CN"/>
              </w:rPr>
              <w:t>цю статтю:</w:t>
            </w:r>
          </w:p>
        </w:tc>
      </w:tr>
      <w:tr w:rsidR="000E5F67" w:rsidRPr="000E5F67" w:rsidTr="000E5F67">
        <w:tc>
          <w:tcPr>
            <w:tcW w:w="9286" w:type="dxa"/>
          </w:tcPr>
          <w:p w:rsidR="000E5F67" w:rsidRPr="000E5F67" w:rsidRDefault="000E5F67" w:rsidP="000E5F67">
            <w:pPr>
              <w:spacing w:after="0" w:line="240" w:lineRule="auto"/>
              <w:jc w:val="both"/>
              <w:rPr>
                <w:rFonts w:eastAsia="SimSun"/>
                <w:i/>
                <w:sz w:val="20"/>
                <w:szCs w:val="20"/>
                <w:lang w:eastAsia="zh-CN"/>
              </w:rPr>
            </w:pPr>
            <w:r w:rsidRPr="000E5F67">
              <w:rPr>
                <w:rFonts w:eastAsia="SimSun" w:cs="Mangal"/>
                <w:kern w:val="1"/>
                <w:sz w:val="20"/>
                <w:szCs w:val="20"/>
                <w:shd w:val="clear" w:color="auto" w:fill="FFFFFF"/>
                <w:lang w:eastAsia="zh-CN" w:bidi="hi-IN"/>
              </w:rPr>
              <w:t>Омельяненко ВГ</w:t>
            </w:r>
            <w:r w:rsidRPr="000E5F67">
              <w:rPr>
                <w:rFonts w:eastAsia="SimSun" w:cs="Mangal"/>
                <w:kern w:val="1"/>
                <w:sz w:val="20"/>
                <w:szCs w:val="20"/>
                <w:lang w:eastAsia="zh-CN" w:bidi="hi-IN"/>
              </w:rPr>
              <w:t xml:space="preserve">, Омельяненко ІО. </w:t>
            </w:r>
            <w:r w:rsidRPr="000E5F67">
              <w:rPr>
                <w:rFonts w:eastAsia="SimSun"/>
                <w:bCs/>
                <w:sz w:val="20"/>
                <w:szCs w:val="20"/>
                <w:lang w:eastAsia="zh-CN"/>
              </w:rPr>
              <w:t xml:space="preserve">Роль учителя фізичної культури у дозуванні фізичних навантажень здобувачів базової середньої освіти. </w:t>
            </w:r>
            <w:r w:rsidRPr="000E5F67">
              <w:rPr>
                <w:rFonts w:eastAsia="SimSun"/>
                <w:sz w:val="20"/>
                <w:szCs w:val="20"/>
                <w:lang w:eastAsia="zh-CN"/>
              </w:rPr>
              <w:t>Вісник Прикарпатського університету</w:t>
            </w:r>
            <w:r w:rsidRPr="000E5F67">
              <w:rPr>
                <w:rFonts w:eastAsia="SimSun" w:cs="Mangal"/>
                <w:kern w:val="1"/>
                <w:sz w:val="20"/>
                <w:szCs w:val="20"/>
                <w:lang w:eastAsia="zh-CN" w:bidi="hi-IN"/>
              </w:rPr>
              <w:t xml:space="preserve">. </w:t>
            </w:r>
            <w:r w:rsidRPr="000E5F67">
              <w:rPr>
                <w:rFonts w:eastAsia="SimSun"/>
                <w:kern w:val="1"/>
                <w:sz w:val="20"/>
                <w:szCs w:val="20"/>
                <w:lang w:eastAsia="zh-CN" w:bidi="hi-IN"/>
              </w:rPr>
              <w:t>Серія:</w:t>
            </w:r>
            <w:r w:rsidRPr="000E5F67">
              <w:rPr>
                <w:rFonts w:eastAsia="SimSun" w:cs="Mangal"/>
                <w:kern w:val="1"/>
                <w:sz w:val="20"/>
                <w:szCs w:val="20"/>
                <w:lang w:eastAsia="zh-CN" w:bidi="hi-IN"/>
              </w:rPr>
              <w:t xml:space="preserve"> </w:t>
            </w:r>
            <w:r w:rsidRPr="000E5F67">
              <w:rPr>
                <w:rFonts w:eastAsia="SimSun"/>
                <w:kern w:val="1"/>
                <w:sz w:val="20"/>
                <w:szCs w:val="20"/>
                <w:lang w:eastAsia="zh-CN" w:bidi="hi-IN"/>
              </w:rPr>
              <w:t>Фізична</w:t>
            </w:r>
            <w:r w:rsidRPr="000E5F67">
              <w:rPr>
                <w:rFonts w:eastAsia="SimSun" w:cs="Mangal"/>
                <w:kern w:val="1"/>
                <w:sz w:val="20"/>
                <w:szCs w:val="20"/>
                <w:lang w:eastAsia="zh-CN" w:bidi="hi-IN"/>
              </w:rPr>
              <w:t xml:space="preserve"> </w:t>
            </w:r>
            <w:r w:rsidRPr="000E5F67">
              <w:rPr>
                <w:rFonts w:eastAsia="SimSun"/>
                <w:spacing w:val="-1"/>
                <w:kern w:val="1"/>
                <w:sz w:val="20"/>
                <w:szCs w:val="20"/>
                <w:lang w:eastAsia="zh-CN" w:bidi="hi-IN"/>
              </w:rPr>
              <w:t>культура.</w:t>
            </w:r>
            <w:r w:rsidRPr="000E5F67">
              <w:rPr>
                <w:rFonts w:eastAsia="SimSun" w:cs="Mangal"/>
                <w:spacing w:val="5"/>
                <w:kern w:val="1"/>
                <w:sz w:val="20"/>
                <w:szCs w:val="20"/>
                <w:lang w:eastAsia="zh-CN" w:bidi="hi-IN"/>
              </w:rPr>
              <w:t xml:space="preserve"> </w:t>
            </w:r>
            <w:r w:rsidRPr="000E5F67">
              <w:rPr>
                <w:rFonts w:eastAsia="SimSun" w:cs="Mangal"/>
                <w:spacing w:val="1"/>
                <w:kern w:val="1"/>
                <w:sz w:val="20"/>
                <w:szCs w:val="20"/>
                <w:lang w:eastAsia="zh-CN" w:bidi="hi-IN"/>
              </w:rPr>
              <w:t>2026</w:t>
            </w:r>
            <w:r w:rsidRPr="000E5F67">
              <w:rPr>
                <w:rFonts w:eastAsia="SimSun" w:cs="Mangal"/>
                <w:kern w:val="1"/>
                <w:sz w:val="20"/>
                <w:szCs w:val="20"/>
                <w:lang w:eastAsia="zh-CN" w:bidi="hi-IN"/>
              </w:rPr>
              <w:t xml:space="preserve"> </w:t>
            </w:r>
            <w:r w:rsidRPr="000E5F67">
              <w:rPr>
                <w:rFonts w:eastAsia="SimSun"/>
                <w:spacing w:val="-1"/>
                <w:kern w:val="1"/>
                <w:sz w:val="20"/>
                <w:szCs w:val="20"/>
                <w:lang w:eastAsia="zh-CN" w:bidi="hi-IN"/>
              </w:rPr>
              <w:t>Травень 05</w:t>
            </w:r>
            <w:r w:rsidRPr="000E5F67">
              <w:rPr>
                <w:rFonts w:eastAsia="SimSun" w:cs="Mangal"/>
                <w:spacing w:val="1"/>
                <w:kern w:val="1"/>
                <w:sz w:val="20"/>
                <w:szCs w:val="20"/>
                <w:lang w:eastAsia="zh-CN" w:bidi="hi-IN"/>
              </w:rPr>
              <w:t>;</w:t>
            </w:r>
            <w:r w:rsidRPr="000E5F67">
              <w:rPr>
                <w:rFonts w:eastAsia="SimSun" w:cs="Mangal"/>
                <w:spacing w:val="-1"/>
                <w:kern w:val="1"/>
                <w:sz w:val="20"/>
                <w:szCs w:val="20"/>
                <w:lang w:eastAsia="zh-CN" w:bidi="hi-IN"/>
              </w:rPr>
              <w:t xml:space="preserve"> </w:t>
            </w:r>
            <w:r w:rsidRPr="000E5F67">
              <w:rPr>
                <w:rFonts w:eastAsia="SimSun" w:cs="Mangal"/>
                <w:spacing w:val="1"/>
                <w:kern w:val="1"/>
                <w:sz w:val="20"/>
                <w:szCs w:val="20"/>
                <w:lang w:eastAsia="zh-CN" w:bidi="hi-IN"/>
              </w:rPr>
              <w:t xml:space="preserve">46: </w:t>
            </w:r>
            <w:r w:rsidRPr="000E5F67">
              <w:rPr>
                <w:rFonts w:eastAsia="SimSun" w:cs="Mangal"/>
                <w:kern w:val="1"/>
                <w:sz w:val="20"/>
                <w:szCs w:val="20"/>
                <w:lang w:eastAsia="zh-CN" w:bidi="hi-IN"/>
              </w:rPr>
              <w:t>47-54</w:t>
            </w:r>
            <w:r w:rsidRPr="000E5F67">
              <w:rPr>
                <w:rFonts w:eastAsia="SimSun"/>
                <w:sz w:val="20"/>
                <w:szCs w:val="20"/>
                <w:lang w:eastAsia="zh-CN"/>
              </w:rPr>
              <w:t>.</w:t>
            </w:r>
          </w:p>
        </w:tc>
      </w:tr>
    </w:tbl>
    <w:p w:rsidR="000E5F67" w:rsidRPr="000E5F67" w:rsidRDefault="000E5F67" w:rsidP="000E5F67">
      <w:pPr>
        <w:autoSpaceDE w:val="0"/>
        <w:autoSpaceDN w:val="0"/>
        <w:adjustRightInd w:val="0"/>
        <w:spacing w:after="0" w:line="240" w:lineRule="auto"/>
        <w:ind w:left="720"/>
        <w:jc w:val="both"/>
        <w:rPr>
          <w:rFonts w:eastAsia="Calibri"/>
          <w:sz w:val="20"/>
          <w:szCs w:val="20"/>
        </w:rPr>
      </w:pPr>
    </w:p>
    <w:p w:rsidR="000E5F67" w:rsidRPr="000E5F67" w:rsidRDefault="000E5F67" w:rsidP="000E5F67">
      <w:pPr>
        <w:autoSpaceDE w:val="0"/>
        <w:autoSpaceDN w:val="0"/>
        <w:adjustRightInd w:val="0"/>
        <w:spacing w:after="0" w:line="240" w:lineRule="auto"/>
        <w:ind w:left="720"/>
        <w:jc w:val="both"/>
        <w:rPr>
          <w:rFonts w:eastAsia="Calibri"/>
          <w:sz w:val="20"/>
          <w:szCs w:val="20"/>
        </w:rPr>
      </w:pPr>
    </w:p>
    <w:tbl>
      <w:tblPr>
        <w:tblStyle w:val="100"/>
        <w:tblW w:w="9322" w:type="dxa"/>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322"/>
      </w:tblGrid>
      <w:tr w:rsidR="000E5F67" w:rsidRPr="000E5F67" w:rsidTr="0004467E">
        <w:tc>
          <w:tcPr>
            <w:tcW w:w="9322" w:type="dxa"/>
            <w:shd w:val="clear" w:color="auto" w:fill="BFBFBF"/>
          </w:tcPr>
          <w:p w:rsidR="000E5F67" w:rsidRPr="000E5F67" w:rsidRDefault="000E5F67" w:rsidP="000E5F67">
            <w:pPr>
              <w:spacing w:after="0"/>
              <w:jc w:val="both"/>
              <w:rPr>
                <w:rFonts w:eastAsia="SimSun"/>
                <w:b/>
                <w:sz w:val="20"/>
                <w:szCs w:val="20"/>
                <w:lang w:val="en-US" w:eastAsia="zh-CN"/>
              </w:rPr>
            </w:pPr>
            <w:r w:rsidRPr="000E5F67">
              <w:rPr>
                <w:rFonts w:eastAsia="SimSun"/>
                <w:b/>
                <w:sz w:val="20"/>
                <w:szCs w:val="20"/>
                <w:lang w:val="en-US" w:eastAsia="zh-CN"/>
              </w:rPr>
              <w:t>Відомості про авторів</w:t>
            </w:r>
          </w:p>
        </w:tc>
      </w:tr>
      <w:tr w:rsidR="000E5F67" w:rsidRPr="000E5F67" w:rsidTr="0004467E">
        <w:tc>
          <w:tcPr>
            <w:tcW w:w="9322" w:type="dxa"/>
          </w:tcPr>
          <w:p w:rsidR="000E5F67" w:rsidRPr="000E5F67" w:rsidRDefault="000E5F67" w:rsidP="000E5F67">
            <w:pPr>
              <w:tabs>
                <w:tab w:val="left" w:pos="1276"/>
              </w:tabs>
              <w:spacing w:after="0" w:line="240" w:lineRule="auto"/>
              <w:jc w:val="both"/>
              <w:rPr>
                <w:rFonts w:eastAsia="Calibri" w:cs="Calibri"/>
                <w:sz w:val="20"/>
                <w:szCs w:val="20"/>
              </w:rPr>
            </w:pPr>
            <w:r w:rsidRPr="000E5F67">
              <w:rPr>
                <w:rFonts w:eastAsia="Calibri" w:cs="Calibri"/>
                <w:b/>
                <w:i/>
                <w:sz w:val="20"/>
                <w:szCs w:val="20"/>
              </w:rPr>
              <w:t>Омельяненко Володимир Григорович</w:t>
            </w:r>
            <w:r w:rsidRPr="000E5F67">
              <w:rPr>
                <w:rFonts w:eastAsia="Calibri" w:cs="Calibri"/>
                <w:sz w:val="20"/>
                <w:szCs w:val="20"/>
              </w:rPr>
              <w:t xml:space="preserve"> - кандидат педагогічних наук, доцент кафедри теоретичних основ і методики фізичного виховання, Тернопільський національний педагогічний університет імені Володимира Гнатюка</w:t>
            </w:r>
          </w:p>
          <w:p w:rsidR="000E5F67" w:rsidRPr="000E5F67" w:rsidRDefault="000E5F67" w:rsidP="000E5F67">
            <w:pPr>
              <w:tabs>
                <w:tab w:val="left" w:pos="1276"/>
              </w:tabs>
              <w:spacing w:after="0" w:line="240" w:lineRule="auto"/>
              <w:jc w:val="both"/>
              <w:rPr>
                <w:rFonts w:eastAsia="Calibri" w:cs="Calibri"/>
                <w:sz w:val="20"/>
                <w:szCs w:val="20"/>
              </w:rPr>
            </w:pPr>
            <w:r w:rsidRPr="000E5F67">
              <w:rPr>
                <w:rFonts w:eastAsia="Calibri" w:cs="Calibri"/>
                <w:sz w:val="20"/>
                <w:szCs w:val="20"/>
              </w:rPr>
              <w:t xml:space="preserve">https://orcid.org/0000-0002-1722-3812 </w:t>
            </w:r>
          </w:p>
          <w:p w:rsidR="000E5F67" w:rsidRPr="000E5F67" w:rsidRDefault="000E5F67" w:rsidP="000E5F67">
            <w:pPr>
              <w:tabs>
                <w:tab w:val="left" w:pos="1276"/>
              </w:tabs>
              <w:spacing w:after="0" w:line="240" w:lineRule="auto"/>
              <w:jc w:val="both"/>
              <w:rPr>
                <w:i/>
                <w:sz w:val="20"/>
                <w:szCs w:val="20"/>
                <w:lang w:eastAsia="uk-UA"/>
              </w:rPr>
            </w:pPr>
            <w:r w:rsidRPr="000E5F67">
              <w:rPr>
                <w:rFonts w:eastAsia="Calibri" w:cs="Calibri"/>
                <w:sz w:val="20"/>
                <w:szCs w:val="20"/>
              </w:rPr>
              <w:t xml:space="preserve">e-mail: </w:t>
            </w:r>
            <w:hyperlink r:id="rId175" w:history="1">
              <w:r w:rsidRPr="000E5F67">
                <w:rPr>
                  <w:rFonts w:eastAsia="Calibri" w:cs="Calibri"/>
                  <w:color w:val="0563C1"/>
                  <w:sz w:val="20"/>
                  <w:szCs w:val="20"/>
                  <w:u w:val="single"/>
                </w:rPr>
                <w:t>52</w:t>
              </w:r>
              <w:r w:rsidRPr="000E5F67">
                <w:rPr>
                  <w:rFonts w:eastAsia="Calibri" w:cs="Calibri"/>
                  <w:color w:val="0563C1"/>
                  <w:sz w:val="20"/>
                  <w:szCs w:val="20"/>
                  <w:u w:val="single"/>
                  <w:lang w:val="en-US"/>
                </w:rPr>
                <w:t>omelt@gmail.com</w:t>
              </w:r>
            </w:hyperlink>
          </w:p>
        </w:tc>
      </w:tr>
      <w:tr w:rsidR="000E5F67" w:rsidRPr="000E5F67" w:rsidTr="0004467E">
        <w:tc>
          <w:tcPr>
            <w:tcW w:w="9322" w:type="dxa"/>
          </w:tcPr>
          <w:p w:rsidR="000E5F67" w:rsidRPr="000E5F67" w:rsidRDefault="000E5F67" w:rsidP="000E5F67">
            <w:pPr>
              <w:tabs>
                <w:tab w:val="left" w:pos="1276"/>
              </w:tabs>
              <w:spacing w:after="0" w:line="240" w:lineRule="auto"/>
              <w:jc w:val="both"/>
              <w:rPr>
                <w:rFonts w:eastAsia="Calibri" w:cs="Calibri"/>
                <w:sz w:val="20"/>
                <w:szCs w:val="20"/>
              </w:rPr>
            </w:pPr>
            <w:r w:rsidRPr="000E5F67">
              <w:rPr>
                <w:rFonts w:eastAsia="Calibri" w:cs="Calibri"/>
                <w:b/>
                <w:i/>
                <w:sz w:val="20"/>
                <w:szCs w:val="20"/>
              </w:rPr>
              <w:t>Омельяненко Інна Олександрівна</w:t>
            </w:r>
            <w:r w:rsidRPr="000E5F67">
              <w:rPr>
                <w:rFonts w:eastAsia="Calibri" w:cs="Calibri"/>
                <w:sz w:val="20"/>
                <w:szCs w:val="20"/>
              </w:rPr>
              <w:t xml:space="preserve"> -</w:t>
            </w:r>
            <w:r w:rsidR="006D3BDB">
              <w:rPr>
                <w:rFonts w:eastAsia="Calibri" w:cs="Calibri"/>
                <w:sz w:val="20"/>
                <w:szCs w:val="20"/>
              </w:rPr>
              <w:t xml:space="preserve"> </w:t>
            </w:r>
            <w:r w:rsidRPr="000E5F67">
              <w:rPr>
                <w:rFonts w:eastAsia="Calibri" w:cs="Calibri"/>
                <w:sz w:val="20"/>
                <w:szCs w:val="20"/>
              </w:rPr>
              <w:t>кандидатка наук з фізичного виховання і спорту, доцентка кафедри теоретичних основ і методики фізичного виховання, Тернопільський національний педагогічний університет імені Володимира Гнатюка</w:t>
            </w:r>
          </w:p>
          <w:p w:rsidR="000E5F67" w:rsidRPr="000E5F67" w:rsidRDefault="003D6B4F" w:rsidP="000E5F67">
            <w:pPr>
              <w:spacing w:after="0" w:line="240" w:lineRule="auto"/>
              <w:jc w:val="both"/>
              <w:rPr>
                <w:rFonts w:eastAsia="SimSun"/>
                <w:sz w:val="20"/>
                <w:szCs w:val="20"/>
                <w:lang w:eastAsia="zh-CN"/>
              </w:rPr>
            </w:pPr>
            <w:hyperlink r:id="rId176" w:history="1">
              <w:r w:rsidR="000E5F67" w:rsidRPr="000E5F67">
                <w:rPr>
                  <w:rFonts w:eastAsia="SimSun"/>
                  <w:sz w:val="20"/>
                  <w:szCs w:val="20"/>
                  <w:lang w:val="en-US" w:eastAsia="zh-CN"/>
                </w:rPr>
                <w:t>https</w:t>
              </w:r>
              <w:r w:rsidR="000E5F67" w:rsidRPr="000E5F67">
                <w:rPr>
                  <w:rFonts w:eastAsia="SimSun"/>
                  <w:sz w:val="20"/>
                  <w:szCs w:val="20"/>
                  <w:lang w:eastAsia="zh-CN"/>
                </w:rPr>
                <w:t>://</w:t>
              </w:r>
              <w:r w:rsidR="000E5F67" w:rsidRPr="000E5F67">
                <w:rPr>
                  <w:rFonts w:eastAsia="SimSun"/>
                  <w:sz w:val="20"/>
                  <w:szCs w:val="20"/>
                  <w:lang w:val="en-US" w:eastAsia="zh-CN"/>
                </w:rPr>
                <w:t>orcid</w:t>
              </w:r>
              <w:r w:rsidR="000E5F67" w:rsidRPr="000E5F67">
                <w:rPr>
                  <w:rFonts w:eastAsia="SimSun"/>
                  <w:sz w:val="20"/>
                  <w:szCs w:val="20"/>
                  <w:lang w:eastAsia="zh-CN"/>
                </w:rPr>
                <w:t>.</w:t>
              </w:r>
              <w:r w:rsidR="000E5F67" w:rsidRPr="000E5F67">
                <w:rPr>
                  <w:rFonts w:eastAsia="SimSun"/>
                  <w:sz w:val="20"/>
                  <w:szCs w:val="20"/>
                  <w:lang w:val="en-US" w:eastAsia="zh-CN"/>
                </w:rPr>
                <w:t>org</w:t>
              </w:r>
              <w:r w:rsidR="000E5F67" w:rsidRPr="000E5F67">
                <w:rPr>
                  <w:rFonts w:eastAsia="SimSun"/>
                  <w:sz w:val="20"/>
                  <w:szCs w:val="20"/>
                  <w:lang w:eastAsia="zh-CN"/>
                </w:rPr>
                <w:t>/0000-0002-1107-7244</w:t>
              </w:r>
            </w:hyperlink>
          </w:p>
          <w:p w:rsidR="000E5F67" w:rsidRPr="000E5F67" w:rsidRDefault="000E5F67" w:rsidP="000E5F67">
            <w:pPr>
              <w:spacing w:after="0" w:line="240" w:lineRule="auto"/>
              <w:jc w:val="both"/>
              <w:rPr>
                <w:rFonts w:eastAsia="SimSun"/>
                <w:kern w:val="1"/>
                <w:sz w:val="20"/>
                <w:szCs w:val="20"/>
                <w:lang w:eastAsia="zh-CN" w:bidi="hi-IN"/>
              </w:rPr>
            </w:pPr>
            <w:r w:rsidRPr="000E5F67">
              <w:rPr>
                <w:rFonts w:eastAsia="SimSun"/>
                <w:sz w:val="20"/>
                <w:szCs w:val="20"/>
                <w:lang w:val="en-US" w:eastAsia="zh-CN"/>
              </w:rPr>
              <w:t>e</w:t>
            </w:r>
            <w:r w:rsidRPr="000E5F67">
              <w:rPr>
                <w:rFonts w:eastAsia="SimSun"/>
                <w:sz w:val="20"/>
                <w:szCs w:val="20"/>
                <w:lang w:eastAsia="zh-CN"/>
              </w:rPr>
              <w:t>-</w:t>
            </w:r>
            <w:r w:rsidRPr="000E5F67">
              <w:rPr>
                <w:rFonts w:eastAsia="SimSun"/>
                <w:sz w:val="20"/>
                <w:szCs w:val="20"/>
                <w:lang w:val="en-US" w:eastAsia="zh-CN"/>
              </w:rPr>
              <w:t>mail</w:t>
            </w:r>
            <w:r w:rsidRPr="000E5F67">
              <w:rPr>
                <w:rFonts w:eastAsia="SimSun"/>
                <w:sz w:val="20"/>
                <w:szCs w:val="20"/>
                <w:lang w:eastAsia="zh-CN"/>
              </w:rPr>
              <w:t xml:space="preserve">: </w:t>
            </w:r>
            <w:r w:rsidRPr="000E5F67">
              <w:rPr>
                <w:rFonts w:eastAsia="SimSun"/>
                <w:sz w:val="20"/>
                <w:szCs w:val="20"/>
                <w:lang w:val="en-US" w:eastAsia="zh-CN"/>
              </w:rPr>
              <w:t>omelinna</w:t>
            </w:r>
            <w:r w:rsidRPr="000E5F67">
              <w:rPr>
                <w:rFonts w:eastAsia="SimSun"/>
                <w:sz w:val="20"/>
                <w:szCs w:val="20"/>
                <w:lang w:eastAsia="zh-CN"/>
              </w:rPr>
              <w:t>23@</w:t>
            </w:r>
            <w:r w:rsidRPr="000E5F67">
              <w:rPr>
                <w:rFonts w:eastAsia="SimSun"/>
                <w:sz w:val="20"/>
                <w:szCs w:val="20"/>
                <w:lang w:val="en-US" w:eastAsia="zh-CN"/>
              </w:rPr>
              <w:t>gmail</w:t>
            </w:r>
            <w:r w:rsidRPr="000E5F67">
              <w:rPr>
                <w:rFonts w:eastAsia="SimSun"/>
                <w:sz w:val="20"/>
                <w:szCs w:val="20"/>
                <w:lang w:eastAsia="zh-CN"/>
              </w:rPr>
              <w:t>.</w:t>
            </w:r>
            <w:r w:rsidRPr="000E5F67">
              <w:rPr>
                <w:rFonts w:eastAsia="SimSun"/>
                <w:sz w:val="20"/>
                <w:szCs w:val="20"/>
                <w:lang w:val="en-US" w:eastAsia="zh-CN"/>
              </w:rPr>
              <w:t>com</w:t>
            </w:r>
          </w:p>
        </w:tc>
      </w:tr>
    </w:tbl>
    <w:p w:rsidR="000E5F67" w:rsidRPr="000E5F67" w:rsidRDefault="000E5F67" w:rsidP="000E5F67">
      <w:pPr>
        <w:spacing w:after="0" w:line="240" w:lineRule="auto"/>
        <w:ind w:left="720" w:firstLine="709"/>
        <w:contextualSpacing/>
        <w:jc w:val="both"/>
        <w:rPr>
          <w:rFonts w:eastAsia="Calibri"/>
          <w:kern w:val="2"/>
          <w:sz w:val="20"/>
          <w:szCs w:val="20"/>
        </w:rPr>
      </w:pPr>
    </w:p>
    <w:p w:rsidR="000E5F67" w:rsidRPr="000E5F67" w:rsidRDefault="000E5F67" w:rsidP="000E5F67">
      <w:pPr>
        <w:spacing w:after="0" w:line="240" w:lineRule="auto"/>
        <w:ind w:left="3544"/>
        <w:contextualSpacing/>
        <w:jc w:val="both"/>
        <w:rPr>
          <w:rFonts w:eastAsia="Calibri"/>
          <w:kern w:val="2"/>
          <w:sz w:val="20"/>
          <w:szCs w:val="20"/>
        </w:rPr>
      </w:pPr>
      <w:r w:rsidRPr="000E5F67">
        <w:rPr>
          <w:rFonts w:eastAsia="Calibri"/>
          <w:kern w:val="2"/>
          <w:sz w:val="20"/>
          <w:szCs w:val="20"/>
        </w:rPr>
        <w:t>Дата першого надходження статті до видання: 04.05.2026</w:t>
      </w:r>
    </w:p>
    <w:p w:rsidR="000E5F67" w:rsidRPr="000E5F67" w:rsidRDefault="000E5F67" w:rsidP="000E5F67">
      <w:pPr>
        <w:spacing w:after="0" w:line="240" w:lineRule="auto"/>
        <w:ind w:left="3544"/>
        <w:contextualSpacing/>
        <w:jc w:val="both"/>
        <w:rPr>
          <w:rFonts w:eastAsia="Calibri"/>
          <w:kern w:val="2"/>
          <w:sz w:val="20"/>
          <w:szCs w:val="20"/>
        </w:rPr>
      </w:pPr>
      <w:r w:rsidRPr="000E5F67">
        <w:rPr>
          <w:rFonts w:eastAsia="Calibri"/>
          <w:kern w:val="2"/>
          <w:sz w:val="20"/>
          <w:szCs w:val="20"/>
        </w:rPr>
        <w:t>Дата прийняття статті до друку після рецензування: 15.05.2026</w:t>
      </w:r>
    </w:p>
    <w:p w:rsidR="000E5F67" w:rsidRPr="000E5F67" w:rsidRDefault="000E5F67" w:rsidP="000E5F67">
      <w:pPr>
        <w:spacing w:after="0" w:line="240" w:lineRule="auto"/>
        <w:ind w:left="3544"/>
        <w:contextualSpacing/>
        <w:jc w:val="both"/>
        <w:rPr>
          <w:rFonts w:eastAsia="Calibri"/>
          <w:kern w:val="2"/>
          <w:sz w:val="20"/>
          <w:szCs w:val="20"/>
        </w:rPr>
      </w:pPr>
      <w:r w:rsidRPr="000E5F67">
        <w:rPr>
          <w:rFonts w:eastAsia="Calibri"/>
          <w:kern w:val="2"/>
          <w:sz w:val="20"/>
          <w:szCs w:val="20"/>
        </w:rPr>
        <w:t>Дата публікації (оприлюднення) статті: 18.05.2026</w:t>
      </w:r>
    </w:p>
    <w:p w:rsidR="000E5F67" w:rsidRPr="000E5F67" w:rsidRDefault="000E5F67" w:rsidP="000E5F67">
      <w:pPr>
        <w:spacing w:after="160" w:line="240" w:lineRule="auto"/>
        <w:ind w:left="3544"/>
        <w:rPr>
          <w:rFonts w:eastAsia="Calibri" w:cs="Calibri"/>
          <w:kern w:val="2"/>
          <w:sz w:val="20"/>
          <w:szCs w:val="20"/>
        </w:rPr>
      </w:pPr>
    </w:p>
    <w:p w:rsidR="000E5F67" w:rsidRPr="000E5F67" w:rsidRDefault="000E5F67" w:rsidP="000E5F67">
      <w:pPr>
        <w:tabs>
          <w:tab w:val="left" w:pos="1276"/>
        </w:tabs>
        <w:spacing w:after="0" w:line="240" w:lineRule="auto"/>
        <w:ind w:firstLine="709"/>
        <w:jc w:val="both"/>
        <w:rPr>
          <w:rFonts w:eastAsia="Calibri" w:cs="Calibri"/>
          <w:kern w:val="2"/>
          <w:sz w:val="24"/>
          <w:szCs w:val="24"/>
        </w:rPr>
      </w:pPr>
    </w:p>
    <w:p w:rsidR="000E5F67" w:rsidRPr="000E5F67" w:rsidRDefault="000E5F67" w:rsidP="000E5F67">
      <w:pPr>
        <w:tabs>
          <w:tab w:val="left" w:pos="1276"/>
        </w:tabs>
        <w:spacing w:after="0" w:line="240" w:lineRule="auto"/>
        <w:ind w:firstLine="709"/>
        <w:jc w:val="both"/>
        <w:rPr>
          <w:rFonts w:eastAsia="Calibri" w:cs="Calibri"/>
          <w:kern w:val="2"/>
          <w:sz w:val="24"/>
          <w:szCs w:val="24"/>
        </w:rPr>
      </w:pPr>
    </w:p>
    <w:p w:rsidR="00CA2F07" w:rsidRDefault="00CA2F07">
      <w:pPr>
        <w:spacing w:after="160" w:line="259" w:lineRule="auto"/>
        <w:rPr>
          <w:spacing w:val="-4"/>
          <w:sz w:val="18"/>
        </w:rPr>
      </w:pPr>
      <w:r>
        <w:rPr>
          <w:spacing w:val="-4"/>
          <w:sz w:val="18"/>
        </w:rPr>
        <w:br w:type="page"/>
      </w: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CA2F07" w:rsidRPr="00CA2F07" w:rsidTr="00C07F42">
        <w:tc>
          <w:tcPr>
            <w:tcW w:w="3785" w:type="dxa"/>
          </w:tcPr>
          <w:p w:rsidR="00CA2F07" w:rsidRPr="00CA2F07" w:rsidRDefault="00CA2F07" w:rsidP="00CA2F07">
            <w:pPr>
              <w:spacing w:after="0" w:line="240" w:lineRule="auto"/>
              <w:rPr>
                <w:b/>
                <w:sz w:val="20"/>
                <w:szCs w:val="20"/>
                <w:lang w:eastAsia="uk-UA"/>
              </w:rPr>
            </w:pPr>
            <w:r w:rsidRPr="00CA2F07">
              <w:rPr>
                <w:b/>
                <w:sz w:val="20"/>
                <w:szCs w:val="20"/>
                <w:lang w:eastAsia="uk-UA"/>
              </w:rPr>
              <w:lastRenderedPageBreak/>
              <w:t>УДК 796.011.3:796.015</w:t>
            </w:r>
          </w:p>
          <w:p w:rsidR="00CA2F07" w:rsidRPr="00CA2F07" w:rsidRDefault="00CA2F07" w:rsidP="00CA2F07">
            <w:pPr>
              <w:spacing w:after="0" w:line="240" w:lineRule="auto"/>
              <w:rPr>
                <w:b/>
                <w:sz w:val="20"/>
                <w:szCs w:val="20"/>
                <w:lang w:eastAsia="uk-UA"/>
              </w:rPr>
            </w:pPr>
            <w:r w:rsidRPr="00CA2F07">
              <w:rPr>
                <w:b/>
                <w:sz w:val="20"/>
                <w:szCs w:val="20"/>
                <w:lang w:eastAsia="uk-UA"/>
              </w:rPr>
              <w:t xml:space="preserve">doi: </w:t>
            </w:r>
            <w:r w:rsidRPr="00CA2F07">
              <w:rPr>
                <w:rFonts w:eastAsia="SimSun"/>
                <w:b/>
                <w:kern w:val="1"/>
                <w:sz w:val="20"/>
                <w:szCs w:val="20"/>
                <w:lang w:eastAsia="zh-CN" w:bidi="hi-IN"/>
              </w:rPr>
              <w:t>10.15330/fcult.55-60</w:t>
            </w:r>
          </w:p>
        </w:tc>
        <w:tc>
          <w:tcPr>
            <w:tcW w:w="5501" w:type="dxa"/>
          </w:tcPr>
          <w:p w:rsidR="00CA2F07" w:rsidRPr="00CA2F07" w:rsidRDefault="00CA2F07" w:rsidP="00CA2F07">
            <w:pPr>
              <w:spacing w:after="0" w:line="240" w:lineRule="auto"/>
              <w:jc w:val="right"/>
              <w:rPr>
                <w:b/>
                <w:i/>
                <w:sz w:val="20"/>
                <w:szCs w:val="20"/>
                <w:lang w:eastAsia="uk-UA"/>
              </w:rPr>
            </w:pPr>
            <w:r w:rsidRPr="00CA2F07">
              <w:rPr>
                <w:b/>
                <w:bCs/>
                <w:i/>
                <w:iCs/>
                <w:sz w:val="20"/>
                <w:szCs w:val="20"/>
              </w:rPr>
              <w:t>Тимур Арабаджи, Анна Арабаджи, Тетяна Капустіна</w:t>
            </w:r>
          </w:p>
        </w:tc>
      </w:tr>
    </w:tbl>
    <w:p w:rsidR="00CA2F07" w:rsidRPr="00CA2F07" w:rsidRDefault="00CA2F07" w:rsidP="00CA2F07">
      <w:pPr>
        <w:spacing w:after="0" w:line="240" w:lineRule="auto"/>
        <w:jc w:val="center"/>
        <w:rPr>
          <w:rFonts w:eastAsia="Calibri"/>
          <w:b/>
          <w:bCs/>
          <w:sz w:val="24"/>
          <w:szCs w:val="24"/>
        </w:rPr>
      </w:pPr>
    </w:p>
    <w:p w:rsidR="00CA2F07" w:rsidRPr="00CA2F07" w:rsidRDefault="00CA2F07" w:rsidP="00CA2F07">
      <w:pPr>
        <w:spacing w:after="0" w:line="240" w:lineRule="auto"/>
        <w:jc w:val="center"/>
        <w:rPr>
          <w:rFonts w:eastAsia="Calibri"/>
          <w:b/>
          <w:bCs/>
          <w:sz w:val="24"/>
          <w:szCs w:val="24"/>
        </w:rPr>
      </w:pPr>
      <w:r w:rsidRPr="00CA2F07">
        <w:rPr>
          <w:rFonts w:eastAsia="Calibri"/>
          <w:b/>
          <w:bCs/>
          <w:sz w:val="24"/>
          <w:szCs w:val="24"/>
        </w:rPr>
        <w:t>ФІТНЕС-ТЕХНОЛОГІЇ ЯК ІНСТРУМЕНТ ОРГАНІЗАЦІЇ</w:t>
      </w:r>
    </w:p>
    <w:p w:rsidR="00CA2F07" w:rsidRPr="00CA2F07" w:rsidRDefault="00CA2F07" w:rsidP="00CA2F07">
      <w:pPr>
        <w:spacing w:after="0" w:line="240" w:lineRule="auto"/>
        <w:jc w:val="center"/>
        <w:rPr>
          <w:rFonts w:eastAsia="Calibri"/>
          <w:b/>
          <w:bCs/>
          <w:sz w:val="24"/>
          <w:szCs w:val="24"/>
        </w:rPr>
      </w:pPr>
      <w:r w:rsidRPr="00CA2F07">
        <w:rPr>
          <w:rFonts w:eastAsia="Calibri"/>
          <w:b/>
          <w:bCs/>
          <w:sz w:val="24"/>
          <w:szCs w:val="24"/>
        </w:rPr>
        <w:t>ФІЗИЧНОЇ РЕКРЕАЦІЇ РІЗНИХ ГРУП НАСЕЛЕННЯ</w:t>
      </w:r>
    </w:p>
    <w:p w:rsidR="00CA2F07" w:rsidRPr="00CA2F07" w:rsidRDefault="00CA2F07" w:rsidP="00CA2F07">
      <w:pPr>
        <w:spacing w:after="0" w:line="240" w:lineRule="auto"/>
        <w:jc w:val="center"/>
        <w:rPr>
          <w:rFonts w:eastAsia="Calibri"/>
          <w:b/>
          <w:bCs/>
          <w:sz w:val="24"/>
          <w:szCs w:val="24"/>
        </w:rPr>
      </w:pPr>
    </w:p>
    <w:p w:rsidR="00CA2F07" w:rsidRPr="00CA2F07" w:rsidRDefault="00CA2F07" w:rsidP="00CA2F07">
      <w:pPr>
        <w:spacing w:after="0" w:line="240" w:lineRule="auto"/>
        <w:ind w:firstLine="709"/>
        <w:jc w:val="both"/>
        <w:rPr>
          <w:rFonts w:eastAsia="Calibri"/>
          <w:sz w:val="20"/>
          <w:szCs w:val="20"/>
        </w:rPr>
      </w:pPr>
      <w:r w:rsidRPr="00CA2F07">
        <w:rPr>
          <w:rFonts w:eastAsia="Calibri"/>
          <w:b/>
          <w:bCs/>
          <w:sz w:val="20"/>
          <w:szCs w:val="20"/>
        </w:rPr>
        <w:t>Резюме. Мета</w:t>
      </w:r>
      <w:r w:rsidRPr="00CA2F07">
        <w:rPr>
          <w:rFonts w:eastAsia="Calibri"/>
          <w:sz w:val="20"/>
          <w:szCs w:val="20"/>
        </w:rPr>
        <w:t xml:space="preserve"> – обґрунтувати ефективність використання фітнес-технологій як інструменту організації фізичної рекреації дівчат підліткового віку, які займаються ігровими видами спорту. </w:t>
      </w:r>
      <w:r w:rsidRPr="00CA2F07">
        <w:rPr>
          <w:rFonts w:eastAsia="Calibri"/>
          <w:b/>
          <w:bCs/>
          <w:sz w:val="20"/>
          <w:szCs w:val="20"/>
        </w:rPr>
        <w:t>Матеріал і методи дослідження.</w:t>
      </w:r>
      <w:r w:rsidRPr="00CA2F07">
        <w:rPr>
          <w:rFonts w:eastAsia="Calibri"/>
          <w:sz w:val="20"/>
          <w:szCs w:val="20"/>
        </w:rPr>
        <w:t xml:space="preserve"> Дослідження проведено за участю 20 дівчат віком 15–17 років. Застосовано аналіз науково-методичної літератури, педагогічне спостереження та анкетування. </w:t>
      </w:r>
      <w:r w:rsidRPr="00CA2F07">
        <w:rPr>
          <w:rFonts w:eastAsia="Calibri"/>
          <w:b/>
          <w:bCs/>
          <w:sz w:val="20"/>
          <w:szCs w:val="20"/>
        </w:rPr>
        <w:t>Результати.</w:t>
      </w:r>
      <w:r w:rsidRPr="00CA2F07">
        <w:rPr>
          <w:rFonts w:eastAsia="Calibri"/>
          <w:sz w:val="20"/>
          <w:szCs w:val="20"/>
        </w:rPr>
        <w:t xml:space="preserve"> Встановлено, що впровадження фітнес-технологій сприяє підвищенню мотивації до рухової активності, покращенню емоційного стану та оптимізації рекреаційних занять. </w:t>
      </w:r>
      <w:r w:rsidRPr="00CA2F07">
        <w:rPr>
          <w:rFonts w:eastAsia="Calibri"/>
          <w:b/>
          <w:bCs/>
          <w:sz w:val="20"/>
          <w:szCs w:val="20"/>
        </w:rPr>
        <w:t>Висновок.</w:t>
      </w:r>
      <w:r w:rsidRPr="00CA2F07">
        <w:rPr>
          <w:rFonts w:eastAsia="Calibri"/>
          <w:sz w:val="20"/>
          <w:szCs w:val="20"/>
        </w:rPr>
        <w:t xml:space="preserve"> Фітнес-технології є ефективним засобом організації фізичної рекреації дівчат ігрового спортивного профілю.</w:t>
      </w:r>
    </w:p>
    <w:p w:rsidR="00CA2F07" w:rsidRPr="00CA2F07" w:rsidRDefault="00CA2F07" w:rsidP="00CA2F07">
      <w:pPr>
        <w:spacing w:after="0" w:line="240" w:lineRule="auto"/>
        <w:ind w:firstLine="709"/>
        <w:jc w:val="both"/>
        <w:rPr>
          <w:rFonts w:eastAsia="Calibri"/>
          <w:sz w:val="20"/>
          <w:szCs w:val="20"/>
        </w:rPr>
      </w:pPr>
      <w:r w:rsidRPr="00CA2F07">
        <w:rPr>
          <w:rFonts w:eastAsia="Calibri"/>
          <w:b/>
          <w:bCs/>
          <w:sz w:val="20"/>
          <w:szCs w:val="20"/>
        </w:rPr>
        <w:t>Ключові слова:</w:t>
      </w:r>
      <w:r w:rsidRPr="00CA2F07">
        <w:rPr>
          <w:rFonts w:eastAsia="Calibri"/>
          <w:sz w:val="20"/>
          <w:szCs w:val="20"/>
        </w:rPr>
        <w:t xml:space="preserve"> фітнес-технології, фізична рекреація, ігрові види спорту, дівчата 15–17 років, рухова активність, мотивація, емоційний стан.</w:t>
      </w:r>
    </w:p>
    <w:p w:rsidR="00CA2F07" w:rsidRPr="00CA2F07" w:rsidRDefault="00CA2F07" w:rsidP="00CA2F07">
      <w:pPr>
        <w:spacing w:after="0" w:line="240" w:lineRule="auto"/>
        <w:ind w:firstLine="709"/>
        <w:jc w:val="both"/>
        <w:rPr>
          <w:rFonts w:eastAsia="Calibri"/>
          <w:b/>
          <w:bCs/>
          <w:sz w:val="20"/>
          <w:szCs w:val="20"/>
        </w:rPr>
      </w:pPr>
      <w:bookmarkStart w:id="58" w:name="_Hlk220863885"/>
    </w:p>
    <w:p w:rsidR="00CA2F07" w:rsidRPr="00CA2F07" w:rsidRDefault="00CA2F07" w:rsidP="00CA2F07">
      <w:pPr>
        <w:spacing w:after="0" w:line="240" w:lineRule="auto"/>
        <w:ind w:firstLine="709"/>
        <w:jc w:val="both"/>
        <w:rPr>
          <w:rFonts w:eastAsia="Calibri"/>
          <w:sz w:val="20"/>
          <w:szCs w:val="20"/>
          <w:lang w:val="en-US"/>
        </w:rPr>
      </w:pPr>
      <w:r w:rsidRPr="00CA2F07">
        <w:rPr>
          <w:rFonts w:eastAsia="Calibri"/>
          <w:b/>
          <w:bCs/>
          <w:sz w:val="20"/>
          <w:szCs w:val="20"/>
          <w:lang w:val="en-US"/>
        </w:rPr>
        <w:t>Summary. Purpose of the article.</w:t>
      </w:r>
      <w:r w:rsidRPr="00CA2F07">
        <w:rPr>
          <w:rFonts w:eastAsia="Calibri"/>
          <w:sz w:val="20"/>
          <w:szCs w:val="20"/>
          <w:lang w:val="en-US"/>
        </w:rPr>
        <w:t xml:space="preserve"> The purpose of the study was to determine the effectiveness of fitness technologies as a means of organising physical recreation for girls aged 15–17 who participate in team sports, considering their age-related characteristics, motivation, and emotional state.</w:t>
      </w:r>
    </w:p>
    <w:p w:rsidR="00CA2F07" w:rsidRPr="00CA2F07" w:rsidRDefault="00CA2F07" w:rsidP="00CA2F07">
      <w:pPr>
        <w:spacing w:after="0" w:line="240" w:lineRule="auto"/>
        <w:ind w:firstLine="709"/>
        <w:jc w:val="both"/>
        <w:rPr>
          <w:rFonts w:eastAsia="Calibri"/>
          <w:sz w:val="20"/>
          <w:szCs w:val="20"/>
          <w:lang w:val="en-US"/>
        </w:rPr>
      </w:pPr>
      <w:r w:rsidRPr="00CA2F07">
        <w:rPr>
          <w:rFonts w:eastAsia="Calibri"/>
          <w:b/>
          <w:bCs/>
          <w:sz w:val="20"/>
          <w:szCs w:val="20"/>
          <w:lang w:val="en-US"/>
        </w:rPr>
        <w:t>Material and Methods.</w:t>
      </w:r>
      <w:r w:rsidRPr="00CA2F07">
        <w:rPr>
          <w:rFonts w:eastAsia="Calibri"/>
          <w:sz w:val="20"/>
          <w:szCs w:val="20"/>
          <w:lang w:val="en-US"/>
        </w:rPr>
        <w:t xml:space="preserve"> The study was conducted among 20 girls aged 15–17 who regularly engage in team sports. The research had a descriptive-analytical design and did not include an experimental intervention. The following methods were used: analysis of scientific and methodological literature, pedagogical observation of recreational sessions, questionnaire survey to assess motivation, emotional state, and attitudes towards fitness programmes, qualitative analysis of the collected data. Subjective indicators were evaluated using a five-point rating scale. The results were compared with age-related norms described in scientific sources.</w:t>
      </w:r>
    </w:p>
    <w:p w:rsidR="00CA2F07" w:rsidRPr="00CA2F07" w:rsidRDefault="00CA2F07" w:rsidP="00CA2F07">
      <w:pPr>
        <w:spacing w:after="0" w:line="240" w:lineRule="auto"/>
        <w:ind w:firstLine="709"/>
        <w:jc w:val="both"/>
        <w:rPr>
          <w:rFonts w:eastAsia="Calibri"/>
          <w:sz w:val="20"/>
          <w:szCs w:val="20"/>
          <w:lang w:val="en-US"/>
        </w:rPr>
      </w:pPr>
      <w:r w:rsidRPr="00CA2F07">
        <w:rPr>
          <w:rFonts w:eastAsia="Calibri"/>
          <w:b/>
          <w:bCs/>
          <w:sz w:val="20"/>
          <w:szCs w:val="20"/>
          <w:lang w:val="en-US"/>
        </w:rPr>
        <w:t>Results.</w:t>
      </w:r>
      <w:r w:rsidRPr="00CA2F07">
        <w:rPr>
          <w:rFonts w:eastAsia="Calibri"/>
          <w:sz w:val="20"/>
          <w:szCs w:val="20"/>
          <w:lang w:val="en-US"/>
        </w:rPr>
        <w:t xml:space="preserve"> The findings showed that fitness technologies positively influence motor activity, motivation for regular exercise, and emotional well-being. Most participants expressed a high level of interest in fitness sessions and demonstrated positive emotional responses during activities. Fitness-based recreational programmes contributed to increased physical activity, reduced emotional tension, and improved general well-being. The variability of exercises allowed adaptation to individual abilities without causing excessive fatigue.</w:t>
      </w:r>
    </w:p>
    <w:p w:rsidR="00CA2F07" w:rsidRPr="00CA2F07" w:rsidRDefault="00CA2F07" w:rsidP="00CA2F07">
      <w:pPr>
        <w:spacing w:after="0" w:line="240" w:lineRule="auto"/>
        <w:ind w:firstLine="709"/>
        <w:jc w:val="both"/>
        <w:rPr>
          <w:rFonts w:eastAsia="Calibri"/>
          <w:sz w:val="20"/>
          <w:szCs w:val="20"/>
          <w:lang w:val="en-US"/>
        </w:rPr>
      </w:pPr>
      <w:r w:rsidRPr="00CA2F07">
        <w:rPr>
          <w:rFonts w:eastAsia="Calibri"/>
          <w:b/>
          <w:bCs/>
          <w:sz w:val="20"/>
          <w:szCs w:val="20"/>
          <w:lang w:val="en-US"/>
        </w:rPr>
        <w:t>Conclusions.</w:t>
      </w:r>
      <w:r w:rsidRPr="00CA2F07">
        <w:rPr>
          <w:rFonts w:eastAsia="Calibri"/>
          <w:sz w:val="20"/>
          <w:szCs w:val="20"/>
          <w:lang w:val="en-US"/>
        </w:rPr>
        <w:t xml:space="preserve"> Fitness technologies are an effective and accessible means of organising physical recreation for adolescent girls involved in team sports. Their use promotes stable motivation for regular physical activity and supports emotional and functional well-being.</w:t>
      </w:r>
    </w:p>
    <w:p w:rsidR="00CA2F07" w:rsidRPr="00CA2F07" w:rsidRDefault="00CA2F07" w:rsidP="00CA2F07">
      <w:pPr>
        <w:spacing w:after="0" w:line="240" w:lineRule="auto"/>
        <w:ind w:firstLine="709"/>
        <w:jc w:val="both"/>
        <w:rPr>
          <w:rFonts w:eastAsia="Calibri"/>
          <w:sz w:val="20"/>
          <w:szCs w:val="20"/>
          <w:lang w:val="en-US"/>
        </w:rPr>
      </w:pPr>
      <w:r w:rsidRPr="00CA2F07">
        <w:rPr>
          <w:rFonts w:eastAsia="Calibri"/>
          <w:b/>
          <w:bCs/>
          <w:sz w:val="20"/>
          <w:szCs w:val="20"/>
          <w:lang w:val="en-US"/>
        </w:rPr>
        <w:t>Keywords</w:t>
      </w:r>
      <w:r w:rsidRPr="00CA2F07">
        <w:rPr>
          <w:rFonts w:eastAsia="Calibri"/>
          <w:b/>
          <w:bCs/>
          <w:sz w:val="20"/>
          <w:szCs w:val="20"/>
        </w:rPr>
        <w:t>:</w:t>
      </w:r>
      <w:r w:rsidRPr="00CA2F07">
        <w:rPr>
          <w:rFonts w:eastAsia="Calibri"/>
          <w:sz w:val="20"/>
          <w:szCs w:val="20"/>
        </w:rPr>
        <w:t xml:space="preserve"> </w:t>
      </w:r>
      <w:r w:rsidRPr="00CA2F07">
        <w:rPr>
          <w:rFonts w:eastAsia="Calibri"/>
          <w:sz w:val="20"/>
          <w:szCs w:val="20"/>
          <w:lang w:val="en-US"/>
        </w:rPr>
        <w:t>fitness technologies</w:t>
      </w:r>
      <w:r w:rsidRPr="00CA2F07">
        <w:rPr>
          <w:rFonts w:eastAsia="Calibri"/>
          <w:sz w:val="20"/>
          <w:szCs w:val="20"/>
        </w:rPr>
        <w:t>,</w:t>
      </w:r>
      <w:r w:rsidRPr="00CA2F07">
        <w:rPr>
          <w:rFonts w:eastAsia="Calibri"/>
          <w:sz w:val="20"/>
          <w:szCs w:val="20"/>
          <w:lang w:val="en-US"/>
        </w:rPr>
        <w:t xml:space="preserve"> physical recreation</w:t>
      </w:r>
      <w:r w:rsidRPr="00CA2F07">
        <w:rPr>
          <w:rFonts w:eastAsia="Calibri"/>
          <w:sz w:val="20"/>
          <w:szCs w:val="20"/>
        </w:rPr>
        <w:t>,</w:t>
      </w:r>
      <w:r w:rsidRPr="00CA2F07">
        <w:rPr>
          <w:rFonts w:eastAsia="Calibri"/>
          <w:sz w:val="20"/>
          <w:szCs w:val="20"/>
          <w:lang w:val="en-US"/>
        </w:rPr>
        <w:t xml:space="preserve"> team sports</w:t>
      </w:r>
      <w:r w:rsidRPr="00CA2F07">
        <w:rPr>
          <w:rFonts w:eastAsia="Calibri"/>
          <w:sz w:val="20"/>
          <w:szCs w:val="20"/>
        </w:rPr>
        <w:t>,</w:t>
      </w:r>
      <w:r w:rsidRPr="00CA2F07">
        <w:rPr>
          <w:rFonts w:eastAsia="Calibri"/>
          <w:sz w:val="20"/>
          <w:szCs w:val="20"/>
          <w:lang w:val="en-US"/>
        </w:rPr>
        <w:t xml:space="preserve"> adolescent girls</w:t>
      </w:r>
      <w:r w:rsidRPr="00CA2F07">
        <w:rPr>
          <w:rFonts w:eastAsia="Calibri"/>
          <w:sz w:val="20"/>
          <w:szCs w:val="20"/>
        </w:rPr>
        <w:t>,</w:t>
      </w:r>
      <w:r w:rsidRPr="00CA2F07">
        <w:rPr>
          <w:rFonts w:eastAsia="Calibri"/>
          <w:sz w:val="20"/>
          <w:szCs w:val="20"/>
          <w:lang w:val="en-US"/>
        </w:rPr>
        <w:t xml:space="preserve"> motor activity</w:t>
      </w:r>
      <w:r w:rsidRPr="00CA2F07">
        <w:rPr>
          <w:rFonts w:eastAsia="Calibri"/>
          <w:sz w:val="20"/>
          <w:szCs w:val="20"/>
        </w:rPr>
        <w:t>,</w:t>
      </w:r>
      <w:r w:rsidRPr="00CA2F07">
        <w:rPr>
          <w:rFonts w:eastAsia="Calibri"/>
          <w:sz w:val="20"/>
          <w:szCs w:val="20"/>
          <w:lang w:val="en-US"/>
        </w:rPr>
        <w:t xml:space="preserve"> motivation</w:t>
      </w:r>
      <w:r w:rsidRPr="00CA2F07">
        <w:rPr>
          <w:rFonts w:eastAsia="Calibri"/>
          <w:sz w:val="20"/>
          <w:szCs w:val="20"/>
        </w:rPr>
        <w:t>,</w:t>
      </w:r>
      <w:r w:rsidRPr="00CA2F07">
        <w:rPr>
          <w:rFonts w:eastAsia="Calibri"/>
          <w:sz w:val="20"/>
          <w:szCs w:val="20"/>
          <w:lang w:val="en-US"/>
        </w:rPr>
        <w:t xml:space="preserve"> emotional state.</w:t>
      </w:r>
    </w:p>
    <w:bookmarkEnd w:id="58"/>
    <w:p w:rsidR="00CA2F07" w:rsidRPr="00CA2F07" w:rsidRDefault="00CA2F07" w:rsidP="00CA2F07">
      <w:pPr>
        <w:spacing w:after="0" w:line="240" w:lineRule="auto"/>
        <w:ind w:firstLine="709"/>
        <w:jc w:val="both"/>
        <w:rPr>
          <w:rFonts w:eastAsia="Calibri"/>
          <w:b/>
          <w:bCs/>
          <w:sz w:val="24"/>
          <w:szCs w:val="24"/>
        </w:rPr>
      </w:pPr>
    </w:p>
    <w:p w:rsidR="00CA2F07" w:rsidRPr="00CA2F07" w:rsidRDefault="00CA2F07" w:rsidP="00CA2F07">
      <w:pPr>
        <w:spacing w:after="0" w:line="240" w:lineRule="auto"/>
        <w:ind w:firstLine="709"/>
        <w:jc w:val="both"/>
        <w:rPr>
          <w:rFonts w:eastAsia="Calibri"/>
          <w:sz w:val="24"/>
          <w:szCs w:val="24"/>
        </w:rPr>
      </w:pPr>
      <w:r w:rsidRPr="00CA2F07">
        <w:rPr>
          <w:rFonts w:eastAsia="Calibri"/>
          <w:b/>
          <w:bCs/>
          <w:sz w:val="24"/>
          <w:szCs w:val="24"/>
        </w:rPr>
        <w:t>Постановка проблеми й аналіз результатів останніх досліджень.</w:t>
      </w:r>
      <w:r w:rsidRPr="00CA2F07">
        <w:rPr>
          <w:rFonts w:eastAsia="Calibri"/>
          <w:sz w:val="24"/>
          <w:szCs w:val="24"/>
        </w:rPr>
        <w:t xml:space="preserve"> </w:t>
      </w:r>
      <w:r w:rsidRPr="00CA2F07">
        <w:rPr>
          <w:rFonts w:eastAsia="Calibri"/>
          <w:color w:val="000000"/>
          <w:sz w:val="24"/>
          <w:szCs w:val="24"/>
          <w:shd w:val="clear" w:color="auto" w:fill="FFFFFF"/>
        </w:rPr>
        <w:t>У працях Т. Круцевич [1] розкрито значення фізичної рекреації у формуванні мотивації підлітків до рухової активності, тоді як В. Платонов [2] наголошує на необхідності поєднання спортивної підготовки з відновлювальними та оздоровчими формами занять. О. Андрєєва [3] та Н. Москаленко [4] розглядають фітнес-технології як сучасний засіб оптимізації рекреаційної рухової активності. Водночас використання фітнес-технологій у системі фізичної рекреації дівчат підліткового віку, які займаються ігровими видами спорту, залишається недостатньо науково обґрунтованим, що зумовлює актуальність даного дослідження.</w:t>
      </w:r>
    </w:p>
    <w:p w:rsidR="00CA2F07" w:rsidRPr="00CA2F07" w:rsidRDefault="00CA2F07" w:rsidP="00CA2F07">
      <w:pPr>
        <w:spacing w:after="0" w:line="240" w:lineRule="auto"/>
        <w:ind w:firstLine="709"/>
        <w:jc w:val="both"/>
        <w:rPr>
          <w:rFonts w:eastAsia="Calibri"/>
          <w:sz w:val="24"/>
          <w:szCs w:val="24"/>
        </w:rPr>
      </w:pPr>
      <w:r w:rsidRPr="00CA2F07">
        <w:rPr>
          <w:rFonts w:eastAsia="Calibri"/>
          <w:b/>
          <w:bCs/>
          <w:sz w:val="24"/>
          <w:szCs w:val="24"/>
        </w:rPr>
        <w:t>Мета дослідження.</w:t>
      </w:r>
      <w:r w:rsidRPr="00CA2F07">
        <w:rPr>
          <w:rFonts w:eastAsia="Calibri"/>
          <w:sz w:val="24"/>
          <w:szCs w:val="24"/>
        </w:rPr>
        <w:t xml:space="preserve"> Обґрунтувати ефективність використання фітнес-технологій як інструменту організації фізичної рекреації дівчат підліткового віку, які займаються ігровими видами спорту.</w:t>
      </w:r>
    </w:p>
    <w:p w:rsidR="006D3BDB" w:rsidRDefault="006D3BDB" w:rsidP="006D3BDB">
      <w:pPr>
        <w:framePr w:w="9481" w:h="653" w:hRule="exact" w:wrap="auto" w:vAnchor="page" w:hAnchor="page" w:x="1322" w:y="15728"/>
        <w:spacing w:after="0" w:line="259" w:lineRule="auto"/>
        <w:rPr>
          <w:rFonts w:eastAsia="Calibri"/>
          <w:sz w:val="20"/>
          <w:szCs w:val="20"/>
        </w:rPr>
      </w:pPr>
    </w:p>
    <w:p w:rsidR="00CA2F07" w:rsidRPr="00CA2F07" w:rsidRDefault="00CA2F07" w:rsidP="006D3BDB">
      <w:pPr>
        <w:framePr w:w="9481" w:h="653" w:hRule="exact" w:wrap="auto" w:vAnchor="page" w:hAnchor="page" w:x="1322" w:y="15728"/>
        <w:spacing w:after="0" w:line="259" w:lineRule="auto"/>
        <w:rPr>
          <w:rFonts w:eastAsia="Calibri"/>
          <w:sz w:val="20"/>
          <w:szCs w:val="20"/>
        </w:rPr>
      </w:pPr>
      <w:r w:rsidRPr="00CA2F07">
        <w:rPr>
          <w:rFonts w:eastAsia="Calibri"/>
          <w:sz w:val="20"/>
          <w:szCs w:val="20"/>
        </w:rPr>
        <w:t>©</w:t>
      </w:r>
      <w:r w:rsidRPr="00CA2F07">
        <w:rPr>
          <w:rFonts w:eastAsia="Calibri"/>
          <w:spacing w:val="33"/>
          <w:sz w:val="20"/>
          <w:szCs w:val="20"/>
        </w:rPr>
        <w:t xml:space="preserve"> </w:t>
      </w:r>
      <w:r w:rsidRPr="00CA2F07">
        <w:rPr>
          <w:rFonts w:eastAsia="Calibri"/>
          <w:bCs/>
          <w:sz w:val="20"/>
          <w:szCs w:val="20"/>
        </w:rPr>
        <w:t>Арабаджи Т., Арабаджи А., Капустіна Т.,</w:t>
      </w:r>
      <w:r w:rsidRPr="00CA2F07">
        <w:rPr>
          <w:rFonts w:eastAsia="Calibri"/>
          <w:spacing w:val="1"/>
          <w:sz w:val="20"/>
          <w:szCs w:val="20"/>
        </w:rPr>
        <w:t xml:space="preserve"> 2026</w:t>
      </w:r>
      <w:r w:rsidRPr="00CA2F07">
        <w:rPr>
          <w:rFonts w:eastAsia="Calibri"/>
          <w:spacing w:val="1"/>
          <w:sz w:val="20"/>
          <w:szCs w:val="20"/>
        </w:rPr>
        <w:tab/>
      </w:r>
      <w:r w:rsidRPr="00CA2F07">
        <w:rPr>
          <w:rFonts w:eastAsia="Calibri"/>
          <w:spacing w:val="1"/>
          <w:sz w:val="20"/>
          <w:szCs w:val="20"/>
        </w:rPr>
        <w:tab/>
        <w:t>Увесь контент ліцензовано за умовами СС BY 4.0</w:t>
      </w:r>
    </w:p>
    <w:p w:rsidR="00CA2F07" w:rsidRPr="00CA2F07" w:rsidRDefault="00CA2F07" w:rsidP="00CA2F07">
      <w:pPr>
        <w:spacing w:after="0" w:line="240" w:lineRule="auto"/>
        <w:ind w:firstLine="709"/>
        <w:jc w:val="both"/>
        <w:rPr>
          <w:rFonts w:eastAsia="Calibri"/>
          <w:sz w:val="24"/>
          <w:szCs w:val="24"/>
        </w:rPr>
      </w:pPr>
      <w:r w:rsidRPr="00CA2F07">
        <w:rPr>
          <w:rFonts w:eastAsia="Calibri"/>
          <w:b/>
          <w:bCs/>
          <w:sz w:val="24"/>
          <w:szCs w:val="24"/>
        </w:rPr>
        <w:t>Методи й організація дослідження.</w:t>
      </w:r>
      <w:r w:rsidRPr="00CA2F07">
        <w:rPr>
          <w:rFonts w:eastAsia="Calibri"/>
          <w:sz w:val="24"/>
          <w:szCs w:val="24"/>
        </w:rPr>
        <w:t xml:space="preserve"> У ході дослідження застосовувалися такі методи: аналіз і узагальнення науково-методичної літератури, педагогічне спостереження, анкетування, педагогічне тестування, методи якісного та кількісного аналізу отриманих даних. Дослідження проведено за участю 20 дівчат віком 15–17 років</w:t>
      </w:r>
      <w:r w:rsidRPr="00CA2F07">
        <w:rPr>
          <w:rFonts w:eastAsia="Calibri"/>
          <w:sz w:val="24"/>
          <w:szCs w:val="24"/>
          <w:lang w:val="ru-RU"/>
        </w:rPr>
        <w:t>,</w:t>
      </w:r>
      <w:r w:rsidRPr="00CA2F07">
        <w:rPr>
          <w:rFonts w:ascii="Calibri" w:eastAsia="Calibri" w:hAnsi="Calibri" w:cs="Arial"/>
          <w:sz w:val="24"/>
          <w:szCs w:val="24"/>
        </w:rPr>
        <w:t xml:space="preserve"> </w:t>
      </w:r>
      <w:r w:rsidRPr="00CA2F07">
        <w:rPr>
          <w:rFonts w:eastAsia="Calibri"/>
          <w:sz w:val="24"/>
          <w:szCs w:val="24"/>
        </w:rPr>
        <w:t>які систематично займаються ігровими видами спорту, та здійснювалося у три етапи</w:t>
      </w:r>
      <w:r w:rsidRPr="00CA2F07">
        <w:rPr>
          <w:rFonts w:eastAsia="Calibri"/>
          <w:sz w:val="24"/>
          <w:szCs w:val="24"/>
          <w:lang w:val="ru-RU"/>
        </w:rPr>
        <w:t>.</w:t>
      </w:r>
      <w:r w:rsidRPr="00CA2F07">
        <w:rPr>
          <w:rFonts w:eastAsia="Calibri"/>
          <w:sz w:val="24"/>
          <w:szCs w:val="24"/>
        </w:rPr>
        <w:t xml:space="preserve"> На першому, підготовчому етапі, проведено аналіз сучасних наукових джерел з проблематики фізичної рекреації та фітнес-технологій, визначено мету, завдання, методи дослідження й підібрано комплекс педагогічних тестів. Другий, основний етап, </w:t>
      </w:r>
      <w:r w:rsidRPr="00CA2F07">
        <w:rPr>
          <w:rFonts w:eastAsia="Calibri"/>
          <w:sz w:val="24"/>
          <w:szCs w:val="24"/>
        </w:rPr>
        <w:lastRenderedPageBreak/>
        <w:t>передбачав педагогічне спостереження за рекреаційними заняттями з використанням фітнес-технологій, проведення анкетування та педагогічного тестування. Для оцінювання рухової підготовленості та функціонального стану використовувалися такі показники:</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стрибок у довжину з місця (см);</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біг на 30 м з високого старту (с);</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човниковий біг 4×9 м (с);</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нахил тулуба вперед з положення сидячи (см);</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кількість присідань за 30 с (разів).</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xml:space="preserve">Для вивчення мотиваційного та емоційного компонентів було використано адаптовану анкету, розроблену на основі методики оцінки ставлення до рекреаційних занять із використанням фітнес-технологій. Анкета складалася з 5 блоків питань, що стосувалися: 1) інтересу до нових видів рухової активності; 2) суб’єктивної оцінки самопочуття після занять; 3) задоволеності змістом фітнес-програм; 4) готовності до регулярних занять; 5) впливу фітнес-технологій на емоційний стан. Оцінювання мотивації та емоційного фону дівчат здійснювалося за допомогою анкети, відповіді в якій базувалися на лінійній шкалі Лайкерта [5]. Система оцінювання включала п'ять рівнів градації: 1 </w:t>
      </w:r>
      <w:r w:rsidRPr="00CA2F07">
        <w:rPr>
          <w:rFonts w:eastAsia="Calibri"/>
          <w:sz w:val="24"/>
          <w:szCs w:val="24"/>
          <w:lang w:val="ru-RU"/>
        </w:rPr>
        <w:t xml:space="preserve">– </w:t>
      </w:r>
      <w:r w:rsidRPr="00CA2F07">
        <w:rPr>
          <w:rFonts w:eastAsia="Calibri"/>
          <w:sz w:val="24"/>
          <w:szCs w:val="24"/>
        </w:rPr>
        <w:t xml:space="preserve">повністю не згоден, 2 </w:t>
      </w:r>
      <w:r w:rsidRPr="00CA2F07">
        <w:rPr>
          <w:rFonts w:eastAsia="Calibri"/>
          <w:sz w:val="24"/>
          <w:szCs w:val="24"/>
          <w:lang w:val="ru-RU"/>
        </w:rPr>
        <w:t xml:space="preserve">– </w:t>
      </w:r>
      <w:r w:rsidRPr="00CA2F07">
        <w:rPr>
          <w:rFonts w:eastAsia="Calibri"/>
          <w:sz w:val="24"/>
          <w:szCs w:val="24"/>
        </w:rPr>
        <w:t xml:space="preserve">скоріше не згоден, 3 </w:t>
      </w:r>
      <w:r w:rsidRPr="00CA2F07">
        <w:rPr>
          <w:rFonts w:eastAsia="Calibri"/>
          <w:sz w:val="24"/>
          <w:szCs w:val="24"/>
          <w:lang w:val="ru-RU"/>
        </w:rPr>
        <w:t xml:space="preserve">– </w:t>
      </w:r>
      <w:r w:rsidRPr="00CA2F07">
        <w:rPr>
          <w:rFonts w:eastAsia="Calibri"/>
          <w:sz w:val="24"/>
          <w:szCs w:val="24"/>
        </w:rPr>
        <w:t xml:space="preserve">нейтрально (важко відповісти), 4 </w:t>
      </w:r>
      <w:r w:rsidRPr="00CA2F07">
        <w:rPr>
          <w:rFonts w:eastAsia="Calibri"/>
          <w:sz w:val="24"/>
          <w:szCs w:val="24"/>
          <w:lang w:val="ru-RU"/>
        </w:rPr>
        <w:t xml:space="preserve">– </w:t>
      </w:r>
      <w:r w:rsidRPr="00CA2F07">
        <w:rPr>
          <w:rFonts w:eastAsia="Calibri"/>
          <w:sz w:val="24"/>
          <w:szCs w:val="24"/>
        </w:rPr>
        <w:t xml:space="preserve">скоріше згоден, 5 </w:t>
      </w:r>
      <w:r w:rsidRPr="00CA2F07">
        <w:rPr>
          <w:rFonts w:eastAsia="Calibri"/>
          <w:sz w:val="24"/>
          <w:szCs w:val="24"/>
          <w:lang w:val="ru-RU"/>
        </w:rPr>
        <w:t xml:space="preserve">– </w:t>
      </w:r>
      <w:r w:rsidRPr="00CA2F07">
        <w:rPr>
          <w:rFonts w:eastAsia="Calibri"/>
          <w:sz w:val="24"/>
          <w:szCs w:val="24"/>
        </w:rPr>
        <w:t>повністю згоден. Інтерпретація результатів передбачала, що вищий середній бал свідчить про вищий рівень зацікавленості та сформованості мотивації.</w:t>
      </w:r>
    </w:p>
    <w:p w:rsidR="00CA2F07" w:rsidRPr="00CA2F07" w:rsidRDefault="00CA2F07" w:rsidP="00CA2F07">
      <w:pPr>
        <w:spacing w:after="0" w:line="240" w:lineRule="auto"/>
        <w:ind w:firstLine="709"/>
        <w:jc w:val="both"/>
        <w:rPr>
          <w:rFonts w:eastAsia="Calibri"/>
          <w:bCs/>
          <w:sz w:val="24"/>
          <w:szCs w:val="24"/>
        </w:rPr>
      </w:pPr>
      <w:r w:rsidRPr="00CA2F07">
        <w:rPr>
          <w:rFonts w:eastAsia="Calibri"/>
          <w:sz w:val="24"/>
          <w:szCs w:val="24"/>
        </w:rPr>
        <w:t>На третьому, узагальнювальному етапі, здійснено обробку, аналіз та інтерпретацію отриманих результатів, сформульовано висновки щодо доцільності застосування фітнес-технологій у фізичній рекреації дівчат підліткового віку.</w:t>
      </w:r>
    </w:p>
    <w:p w:rsidR="00CA2F07" w:rsidRPr="00CA2F07" w:rsidRDefault="00CA2F07" w:rsidP="00CA2F07">
      <w:pPr>
        <w:spacing w:after="0" w:line="240" w:lineRule="auto"/>
        <w:ind w:firstLine="709"/>
        <w:jc w:val="both"/>
        <w:rPr>
          <w:rFonts w:eastAsia="Calibri"/>
          <w:sz w:val="24"/>
          <w:szCs w:val="24"/>
        </w:rPr>
      </w:pPr>
      <w:r w:rsidRPr="00CA2F07">
        <w:rPr>
          <w:rFonts w:eastAsia="Calibri"/>
          <w:b/>
          <w:bCs/>
          <w:sz w:val="24"/>
          <w:szCs w:val="24"/>
        </w:rPr>
        <w:t>Результати</w:t>
      </w:r>
      <w:r w:rsidR="0004467E">
        <w:rPr>
          <w:rFonts w:eastAsia="Calibri"/>
          <w:b/>
          <w:bCs/>
          <w:sz w:val="24"/>
          <w:szCs w:val="24"/>
        </w:rPr>
        <w:t xml:space="preserve"> дослідження</w:t>
      </w:r>
      <w:r w:rsidRPr="00CA2F07">
        <w:rPr>
          <w:rFonts w:eastAsia="Calibri"/>
          <w:b/>
          <w:bCs/>
          <w:sz w:val="24"/>
          <w:szCs w:val="24"/>
        </w:rPr>
        <w:t>.</w:t>
      </w:r>
      <w:r w:rsidRPr="00CA2F07">
        <w:rPr>
          <w:rFonts w:eastAsia="Calibri"/>
          <w:sz w:val="24"/>
          <w:szCs w:val="24"/>
        </w:rPr>
        <w:t xml:space="preserve"> Аналіз результатів педагогічного тестування дівчат 15–17 років, які займаються ігровими видами спорту, засвідчив відносно стабільний рівень розвитку основних рухових якостей, що відповідає віковим нормативам та узагальненим літературним даним. Показники швидкісних і швидкісно-силових якостей (біг на 30 м, стрибок у довжину з місця) свідчать про достатній рівень фізичної підготовленості учасниць, що є характерним для підлітків, залучених до регулярної спортивної діяльності. Результати човникового бігу 4×9 м відображають задовільний рівень спритності та координаційних здібностей, необхідних для ігрових видів спорту.</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Результати анкетування, представлені на рисунку 1, свідчать про високий рівень зацікавленості досліджуваних у рекреаційних заняттях із використанням фітнес-технологій, позитивний емоційний стан під час занять та сформовану мотивацію до регулярної рухової активності. Середні значення показників перебувають у межах 4,2–4,6 бала за 5-бальною шкалою, що відповідає високому рівню оцінювання.</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Учасниці відзначили позитивний емоційний фон під час занять, зростання мотивації до рухової активності та бажання продовжувати участь у подібних формах фізичної рекреації. Суб’єктивна оцінка сприйняття фітнес-технологій перебувала на високому рівні, що свідчить про їх відповідність віковим інтересам та потребам підлітків.</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Показники гнучкості, визначені за тестом «нахил тулуба вперед з положення сидячи», характеризуються помірною варіативністю, що може бути пов’язано з індивідуальними особливостями фізичного розвитку та специфікою тренувального процесу. Кількість присідань за 30 секунд свідчить про достатній рівень силової витривалості м’язів нижніх кінцівок, що є важливою складовою функціональної готовності підлітків.</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xml:space="preserve">Проблема використання фітнес-технологій у системі фізичної рекреації підлітків активно обговорюється в сучасних наукових дослідженнях. Значна кількість учених наголошує на необхідності оновлення традиційних форм рухової активності з </w:t>
      </w:r>
      <w:r w:rsidRPr="00CA2F07">
        <w:rPr>
          <w:rFonts w:eastAsia="Calibri"/>
          <w:sz w:val="24"/>
          <w:szCs w:val="24"/>
        </w:rPr>
        <w:lastRenderedPageBreak/>
        <w:t>урахуванням мотиваційних, психологічних та соціальних особливостей підліткового віку.</w:t>
      </w:r>
    </w:p>
    <w:p w:rsidR="006D3BDB" w:rsidRDefault="006D3BDB" w:rsidP="00CA2F07">
      <w:pPr>
        <w:spacing w:after="0" w:line="240" w:lineRule="auto"/>
        <w:ind w:firstLine="709"/>
        <w:jc w:val="right"/>
        <w:rPr>
          <w:rFonts w:eastAsia="Calibri"/>
          <w:i/>
          <w:iCs/>
          <w:sz w:val="24"/>
          <w:szCs w:val="24"/>
        </w:rPr>
      </w:pPr>
    </w:p>
    <w:p w:rsidR="00CA2F07" w:rsidRPr="00CA2F07" w:rsidRDefault="00CA2F07" w:rsidP="00CA2F07">
      <w:pPr>
        <w:spacing w:after="0" w:line="240" w:lineRule="auto"/>
        <w:ind w:firstLine="709"/>
        <w:jc w:val="right"/>
        <w:rPr>
          <w:rFonts w:eastAsia="Calibri"/>
          <w:i/>
          <w:iCs/>
          <w:sz w:val="24"/>
          <w:szCs w:val="24"/>
        </w:rPr>
      </w:pPr>
      <w:r w:rsidRPr="00CA2F07">
        <w:rPr>
          <w:rFonts w:eastAsia="Calibri"/>
          <w:i/>
          <w:iCs/>
          <w:sz w:val="24"/>
          <w:szCs w:val="24"/>
        </w:rPr>
        <w:t>Таблиця 1</w:t>
      </w:r>
    </w:p>
    <w:p w:rsidR="00CA2F07" w:rsidRPr="00CA2F07" w:rsidRDefault="00CA2F07" w:rsidP="00CA2F07">
      <w:pPr>
        <w:spacing w:after="0" w:line="240" w:lineRule="auto"/>
        <w:ind w:firstLine="709"/>
        <w:jc w:val="center"/>
        <w:rPr>
          <w:rFonts w:eastAsia="Calibri"/>
          <w:b/>
          <w:bCs/>
          <w:sz w:val="24"/>
          <w:szCs w:val="24"/>
        </w:rPr>
      </w:pPr>
      <w:r w:rsidRPr="00CA2F07">
        <w:rPr>
          <w:rFonts w:eastAsia="Calibri"/>
          <w:b/>
          <w:bCs/>
          <w:sz w:val="24"/>
          <w:szCs w:val="24"/>
        </w:rPr>
        <w:t>Показники фізичної підготовленості дівчат 15–17 років (</w:t>
      </w:r>
      <w:r w:rsidRPr="00CA2F07">
        <w:rPr>
          <w:rFonts w:eastAsia="Calibri"/>
          <w:b/>
          <w:bCs/>
          <w:sz w:val="24"/>
          <w:szCs w:val="24"/>
          <w:lang w:val="en-US"/>
        </w:rPr>
        <w:t>n</w:t>
      </w:r>
      <w:r w:rsidRPr="00CA2F07">
        <w:rPr>
          <w:rFonts w:eastAsia="Calibri"/>
          <w:b/>
          <w:bCs/>
          <w:sz w:val="24"/>
          <w:szCs w:val="24"/>
        </w:rPr>
        <w:t>=20)</w:t>
      </w:r>
    </w:p>
    <w:tbl>
      <w:tblPr>
        <w:tblStyle w:val="71"/>
        <w:tblW w:w="0" w:type="auto"/>
        <w:tblBorders>
          <w:insideH w:val="none" w:sz="0" w:space="0" w:color="auto"/>
          <w:insideV w:val="none" w:sz="0" w:space="0" w:color="auto"/>
        </w:tblBorders>
        <w:tblLook w:val="04A0" w:firstRow="1" w:lastRow="0" w:firstColumn="1" w:lastColumn="0" w:noHBand="0" w:noVBand="1"/>
      </w:tblPr>
      <w:tblGrid>
        <w:gridCol w:w="3646"/>
        <w:gridCol w:w="1971"/>
        <w:gridCol w:w="1836"/>
        <w:gridCol w:w="1833"/>
      </w:tblGrid>
      <w:tr w:rsidR="00CA2F07" w:rsidRPr="00CA2F07" w:rsidTr="00C07F42">
        <w:tc>
          <w:tcPr>
            <w:tcW w:w="3681" w:type="dxa"/>
            <w:tcBorders>
              <w:top w:val="single" w:sz="4" w:space="0" w:color="auto"/>
              <w:bottom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Показники</w:t>
            </w:r>
          </w:p>
        </w:tc>
        <w:tc>
          <w:tcPr>
            <w:tcW w:w="1984" w:type="dxa"/>
            <w:tcBorders>
              <w:top w:val="single" w:sz="4" w:space="0" w:color="auto"/>
              <w:bottom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Середнє значення (М±</w:t>
            </w:r>
            <w:r w:rsidRPr="00CA2F07">
              <w:rPr>
                <w:rFonts w:eastAsia="Calibri"/>
                <w:sz w:val="24"/>
                <w:szCs w:val="24"/>
                <w:lang w:val="en-US"/>
              </w:rPr>
              <w:t>m</w:t>
            </w:r>
            <w:r w:rsidRPr="00CA2F07">
              <w:rPr>
                <w:rFonts w:eastAsia="Calibri"/>
                <w:sz w:val="24"/>
                <w:szCs w:val="24"/>
              </w:rPr>
              <w:t>)</w:t>
            </w:r>
          </w:p>
        </w:tc>
        <w:tc>
          <w:tcPr>
            <w:tcW w:w="1843" w:type="dxa"/>
            <w:tcBorders>
              <w:top w:val="single" w:sz="4" w:space="0" w:color="auto"/>
              <w:bottom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Мінімальне значення</w:t>
            </w:r>
          </w:p>
        </w:tc>
        <w:tc>
          <w:tcPr>
            <w:tcW w:w="1837" w:type="dxa"/>
            <w:tcBorders>
              <w:top w:val="single" w:sz="4" w:space="0" w:color="auto"/>
              <w:bottom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Максимальне значення</w:t>
            </w:r>
          </w:p>
        </w:tc>
      </w:tr>
      <w:tr w:rsidR="00CA2F07" w:rsidRPr="00CA2F07" w:rsidTr="00C07F42">
        <w:tc>
          <w:tcPr>
            <w:tcW w:w="3681" w:type="dxa"/>
            <w:tcBorders>
              <w:top w:val="single" w:sz="4" w:space="0" w:color="auto"/>
            </w:tcBorders>
            <w:vAlign w:val="center"/>
          </w:tcPr>
          <w:p w:rsidR="00CA2F07" w:rsidRPr="00CA2F07" w:rsidRDefault="00CA2F07" w:rsidP="00CA2F07">
            <w:pPr>
              <w:spacing w:after="0" w:line="240" w:lineRule="auto"/>
              <w:jc w:val="both"/>
              <w:rPr>
                <w:rFonts w:eastAsia="Calibri"/>
                <w:sz w:val="24"/>
                <w:szCs w:val="24"/>
              </w:rPr>
            </w:pPr>
            <w:r w:rsidRPr="00CA2F07">
              <w:rPr>
                <w:rFonts w:eastAsia="Calibri"/>
                <w:sz w:val="24"/>
                <w:szCs w:val="24"/>
              </w:rPr>
              <w:t>Біг 30 м (с)</w:t>
            </w:r>
          </w:p>
        </w:tc>
        <w:tc>
          <w:tcPr>
            <w:tcW w:w="1984" w:type="dxa"/>
            <w:tcBorders>
              <w:top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5,2±0,3</w:t>
            </w:r>
          </w:p>
        </w:tc>
        <w:tc>
          <w:tcPr>
            <w:tcW w:w="1843" w:type="dxa"/>
            <w:tcBorders>
              <w:top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4,8</w:t>
            </w:r>
          </w:p>
        </w:tc>
        <w:tc>
          <w:tcPr>
            <w:tcW w:w="1837" w:type="dxa"/>
            <w:tcBorders>
              <w:top w:val="single" w:sz="4" w:space="0" w:color="auto"/>
            </w:tcBorders>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5,8</w:t>
            </w:r>
          </w:p>
        </w:tc>
      </w:tr>
      <w:tr w:rsidR="00CA2F07" w:rsidRPr="00CA2F07" w:rsidTr="00C07F42">
        <w:tc>
          <w:tcPr>
            <w:tcW w:w="3681" w:type="dxa"/>
            <w:vAlign w:val="center"/>
          </w:tcPr>
          <w:p w:rsidR="00CA2F07" w:rsidRPr="00CA2F07" w:rsidRDefault="00CA2F07" w:rsidP="00CA2F07">
            <w:pPr>
              <w:spacing w:after="0" w:line="240" w:lineRule="auto"/>
              <w:jc w:val="both"/>
              <w:rPr>
                <w:rFonts w:eastAsia="Calibri"/>
                <w:sz w:val="24"/>
                <w:szCs w:val="24"/>
              </w:rPr>
            </w:pPr>
            <w:r w:rsidRPr="00CA2F07">
              <w:rPr>
                <w:rFonts w:eastAsia="Calibri"/>
                <w:sz w:val="24"/>
                <w:szCs w:val="24"/>
              </w:rPr>
              <w:t>Човниковий біг 4х9 м (с)</w:t>
            </w:r>
          </w:p>
        </w:tc>
        <w:tc>
          <w:tcPr>
            <w:tcW w:w="1984"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10,8±0,4</w:t>
            </w:r>
          </w:p>
        </w:tc>
        <w:tc>
          <w:tcPr>
            <w:tcW w:w="1843"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10,1</w:t>
            </w:r>
          </w:p>
        </w:tc>
        <w:tc>
          <w:tcPr>
            <w:tcW w:w="1837"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11,6</w:t>
            </w:r>
          </w:p>
        </w:tc>
      </w:tr>
      <w:tr w:rsidR="00CA2F07" w:rsidRPr="00CA2F07" w:rsidTr="00C07F42">
        <w:tc>
          <w:tcPr>
            <w:tcW w:w="3681" w:type="dxa"/>
            <w:vAlign w:val="center"/>
          </w:tcPr>
          <w:p w:rsidR="00CA2F07" w:rsidRPr="00CA2F07" w:rsidRDefault="00CA2F07" w:rsidP="00CA2F07">
            <w:pPr>
              <w:spacing w:after="0" w:line="240" w:lineRule="auto"/>
              <w:jc w:val="both"/>
              <w:rPr>
                <w:rFonts w:eastAsia="Calibri"/>
                <w:sz w:val="24"/>
                <w:szCs w:val="24"/>
              </w:rPr>
            </w:pPr>
            <w:r w:rsidRPr="00CA2F07">
              <w:rPr>
                <w:rFonts w:eastAsia="Calibri"/>
                <w:sz w:val="24"/>
                <w:szCs w:val="24"/>
              </w:rPr>
              <w:t>Стрибок у довжину з місця (см)</w:t>
            </w:r>
          </w:p>
        </w:tc>
        <w:tc>
          <w:tcPr>
            <w:tcW w:w="1984"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168,5±6,2</w:t>
            </w:r>
          </w:p>
        </w:tc>
        <w:tc>
          <w:tcPr>
            <w:tcW w:w="1843"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155</w:t>
            </w:r>
          </w:p>
        </w:tc>
        <w:tc>
          <w:tcPr>
            <w:tcW w:w="1837"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180</w:t>
            </w:r>
          </w:p>
        </w:tc>
      </w:tr>
      <w:tr w:rsidR="00CA2F07" w:rsidRPr="00CA2F07" w:rsidTr="00C07F42">
        <w:tc>
          <w:tcPr>
            <w:tcW w:w="3681" w:type="dxa"/>
            <w:vAlign w:val="center"/>
          </w:tcPr>
          <w:p w:rsidR="00CA2F07" w:rsidRPr="00CA2F07" w:rsidRDefault="00CA2F07" w:rsidP="00CA2F07">
            <w:pPr>
              <w:spacing w:after="0" w:line="240" w:lineRule="auto"/>
              <w:jc w:val="both"/>
              <w:rPr>
                <w:rFonts w:eastAsia="Calibri"/>
                <w:sz w:val="24"/>
                <w:szCs w:val="24"/>
              </w:rPr>
            </w:pPr>
            <w:r w:rsidRPr="00CA2F07">
              <w:rPr>
                <w:rFonts w:eastAsia="Calibri"/>
                <w:sz w:val="24"/>
                <w:szCs w:val="24"/>
              </w:rPr>
              <w:t>Нахил тулуба вперед сидячи (см)</w:t>
            </w:r>
          </w:p>
        </w:tc>
        <w:tc>
          <w:tcPr>
            <w:tcW w:w="1984"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11,4±3,1</w:t>
            </w:r>
          </w:p>
        </w:tc>
        <w:tc>
          <w:tcPr>
            <w:tcW w:w="1843"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6</w:t>
            </w:r>
          </w:p>
        </w:tc>
        <w:tc>
          <w:tcPr>
            <w:tcW w:w="1837"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18</w:t>
            </w:r>
          </w:p>
        </w:tc>
      </w:tr>
      <w:tr w:rsidR="00CA2F07" w:rsidRPr="00CA2F07" w:rsidTr="00C07F42">
        <w:tc>
          <w:tcPr>
            <w:tcW w:w="3681" w:type="dxa"/>
            <w:vAlign w:val="center"/>
          </w:tcPr>
          <w:p w:rsidR="00CA2F07" w:rsidRPr="00CA2F07" w:rsidRDefault="00CA2F07" w:rsidP="00CA2F07">
            <w:pPr>
              <w:spacing w:after="0" w:line="240" w:lineRule="auto"/>
              <w:jc w:val="both"/>
              <w:rPr>
                <w:rFonts w:eastAsia="Calibri"/>
                <w:sz w:val="24"/>
                <w:szCs w:val="24"/>
              </w:rPr>
            </w:pPr>
            <w:r w:rsidRPr="00CA2F07">
              <w:rPr>
                <w:rFonts w:eastAsia="Calibri"/>
                <w:sz w:val="24"/>
                <w:szCs w:val="24"/>
              </w:rPr>
              <w:t>Присідання за 30 с (разів)</w:t>
            </w:r>
          </w:p>
        </w:tc>
        <w:tc>
          <w:tcPr>
            <w:tcW w:w="1984"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22,6±2,4</w:t>
            </w:r>
          </w:p>
        </w:tc>
        <w:tc>
          <w:tcPr>
            <w:tcW w:w="1843"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18</w:t>
            </w:r>
          </w:p>
        </w:tc>
        <w:tc>
          <w:tcPr>
            <w:tcW w:w="1837" w:type="dxa"/>
            <w:vAlign w:val="center"/>
          </w:tcPr>
          <w:p w:rsidR="00CA2F07" w:rsidRPr="00CA2F07" w:rsidRDefault="00CA2F07" w:rsidP="00CA2F07">
            <w:pPr>
              <w:spacing w:after="0" w:line="240" w:lineRule="auto"/>
              <w:jc w:val="center"/>
              <w:rPr>
                <w:rFonts w:eastAsia="Calibri"/>
                <w:sz w:val="24"/>
                <w:szCs w:val="24"/>
              </w:rPr>
            </w:pPr>
            <w:r w:rsidRPr="00CA2F07">
              <w:rPr>
                <w:rFonts w:eastAsia="Calibri"/>
                <w:sz w:val="24"/>
                <w:szCs w:val="24"/>
              </w:rPr>
              <w:t>27</w:t>
            </w:r>
          </w:p>
        </w:tc>
      </w:tr>
    </w:tbl>
    <w:p w:rsidR="00CA2F07" w:rsidRPr="00CA2F07" w:rsidRDefault="006D3BDB" w:rsidP="00CA2F07">
      <w:pPr>
        <w:spacing w:after="0" w:line="240" w:lineRule="auto"/>
        <w:ind w:firstLine="709"/>
        <w:jc w:val="both"/>
        <w:rPr>
          <w:rFonts w:eastAsia="Calibri"/>
          <w:sz w:val="24"/>
          <w:szCs w:val="24"/>
        </w:rPr>
      </w:pPr>
      <w:r>
        <w:rPr>
          <w:rFonts w:eastAsia="Calibri"/>
          <w:sz w:val="24"/>
          <w:szCs w:val="24"/>
        </w:rPr>
        <w:t xml:space="preserve">Примітка. </w:t>
      </w:r>
      <w:r w:rsidR="00CA2F07" w:rsidRPr="00CA2F07">
        <w:rPr>
          <w:rFonts w:eastAsia="Calibri"/>
          <w:sz w:val="24"/>
          <w:szCs w:val="24"/>
        </w:rPr>
        <w:t>М – середнє арифметичне значення, m – середня похибка.</w:t>
      </w:r>
    </w:p>
    <w:p w:rsidR="00CA2F07" w:rsidRPr="00CA2F07" w:rsidRDefault="00CA2F07" w:rsidP="0004467E">
      <w:pPr>
        <w:spacing w:before="100" w:beforeAutospacing="1" w:after="100" w:afterAutospacing="1" w:line="240" w:lineRule="auto"/>
        <w:jc w:val="center"/>
        <w:rPr>
          <w:sz w:val="24"/>
          <w:szCs w:val="24"/>
          <w:lang w:eastAsia="uk-UA"/>
        </w:rPr>
      </w:pPr>
      <w:r w:rsidRPr="00CA2F07">
        <w:rPr>
          <w:noProof/>
          <w:sz w:val="24"/>
          <w:szCs w:val="24"/>
          <w:lang w:eastAsia="uk-UA"/>
        </w:rPr>
        <w:drawing>
          <wp:inline distT="0" distB="0" distL="0" distR="0">
            <wp:extent cx="4797062" cy="3609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801425" cy="3613258"/>
                    </a:xfrm>
                    <a:prstGeom prst="rect">
                      <a:avLst/>
                    </a:prstGeom>
                    <a:noFill/>
                    <a:ln>
                      <a:noFill/>
                    </a:ln>
                  </pic:spPr>
                </pic:pic>
              </a:graphicData>
            </a:graphic>
          </wp:inline>
        </w:drawing>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Рис. 1. Результати анкетування дівчат 15–17 років щодо ставлення до рекреаційних занять із використанням фітнес-технологій (x̄ ± SD)</w:t>
      </w:r>
    </w:p>
    <w:p w:rsidR="00CA2F07" w:rsidRPr="00CA2F07" w:rsidRDefault="00CA2F07" w:rsidP="00CA2F07">
      <w:pPr>
        <w:spacing w:after="0" w:line="240" w:lineRule="auto"/>
        <w:ind w:firstLine="709"/>
        <w:jc w:val="both"/>
        <w:rPr>
          <w:rFonts w:eastAsia="Calibri"/>
          <w:sz w:val="24"/>
          <w:szCs w:val="24"/>
        </w:rPr>
      </w:pPr>
    </w:p>
    <w:p w:rsidR="00CA2F07" w:rsidRPr="00CA2F07" w:rsidRDefault="0004467E" w:rsidP="00CA2F07">
      <w:pPr>
        <w:spacing w:after="0" w:line="240" w:lineRule="auto"/>
        <w:ind w:firstLine="709"/>
        <w:jc w:val="both"/>
        <w:rPr>
          <w:rFonts w:eastAsia="Calibri"/>
          <w:sz w:val="24"/>
          <w:szCs w:val="24"/>
        </w:rPr>
      </w:pPr>
      <w:r>
        <w:rPr>
          <w:rFonts w:eastAsia="Calibri"/>
          <w:b/>
          <w:bCs/>
          <w:sz w:val="24"/>
          <w:szCs w:val="24"/>
        </w:rPr>
        <w:t>Д</w:t>
      </w:r>
      <w:r w:rsidRPr="00CA2F07">
        <w:rPr>
          <w:rFonts w:eastAsia="Calibri"/>
          <w:b/>
          <w:bCs/>
          <w:sz w:val="24"/>
          <w:szCs w:val="24"/>
        </w:rPr>
        <w:t>искусія</w:t>
      </w:r>
      <w:r w:rsidR="006D3BDB">
        <w:rPr>
          <w:rFonts w:eastAsia="Calibri"/>
          <w:b/>
          <w:bCs/>
          <w:sz w:val="24"/>
          <w:szCs w:val="24"/>
        </w:rPr>
        <w:t>.</w:t>
      </w:r>
      <w:r w:rsidRPr="00CA2F07">
        <w:rPr>
          <w:rFonts w:eastAsia="Calibri"/>
          <w:sz w:val="24"/>
          <w:szCs w:val="24"/>
        </w:rPr>
        <w:t xml:space="preserve"> </w:t>
      </w:r>
      <w:r w:rsidR="00CA2F07" w:rsidRPr="00CA2F07">
        <w:rPr>
          <w:rFonts w:eastAsia="Calibri"/>
          <w:sz w:val="24"/>
          <w:szCs w:val="24"/>
        </w:rPr>
        <w:t>У сучасних наукових дослідженнях акцентується увага на зростаючій ролі фітнес-технологій як складової оздоровчо-рекреаційної рухової активності. Так, М. Прилуцький [6] зазначає, що використання сучасних оздоровчо-рекреаційних технологій сприяє підвищенню мотивації до рухової активності, покращенню емоційного стану та формуванню стійкого інтересу до занять фізичною культурою. Подібні положення підтверджуються також результатами дослідження В. Назарчук та С. Полівода</w:t>
      </w:r>
      <w:r w:rsidR="00CA2F07" w:rsidRPr="00CA2F07">
        <w:rPr>
          <w:rFonts w:eastAsia="Calibri"/>
          <w:sz w:val="24"/>
          <w:szCs w:val="24"/>
          <w:lang w:val="ru-RU"/>
        </w:rPr>
        <w:t xml:space="preserve"> [7]</w:t>
      </w:r>
      <w:r w:rsidR="00CA2F07" w:rsidRPr="00CA2F07">
        <w:rPr>
          <w:rFonts w:eastAsia="Calibri"/>
          <w:sz w:val="24"/>
          <w:szCs w:val="24"/>
        </w:rPr>
        <w:t>, у якому наголошується на позитивному впливі фітнес-технологій на емоційний фон і зацікавленість у рекреаційних заняттях.</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Результати анкетування, отримані у нашому дослідженні, узгоджуються з наведеними науковими положеннями та свідчать про високий рівень зацікавленості дівчат 15–17 років у рекреаційних заняттях із використанням фітнес-програм, а також про позитивне сприйняття таких форм рухової активності.</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lastRenderedPageBreak/>
        <w:t>Окремі дослідження присвячені проблемі оптимізації рухової активності підлітків у межах фізичної рекреації. Зокрема, Г. Бутенко [8] підкреслює доцільність використання варіативних рекреаційних форм для підтримання належного рівня рухової активності та запобігання зниженню мотивації у підлітковому віці. У роботах Н. Хлус [9] доведено, що мотивація до рухової активності учнів середнього шкільного віку значною мірою залежить від емоційної привабливості та різноманітності організації занять.</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 xml:space="preserve">У науковій літературі також простежується дискусія щодо необхідності поєднання тренувальних і рекреаційних форм рухової діяльності у працях  В. Назарук, С. Полівода [7] та М. Прилуцький [6] з метою зменшення психоемоційної втоми та підтримання інтересу до занять. У цьому контексті фітнес-технології розглядаються як ефективний засіб варіативного впливу, що поєднує оздоровчі, відновлювальні та емоційно насичені компоненти рухової активності </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На думку О. Андрєєвої [10] мотиваційно-ціннісні орієнтації учасників рекреаційної діяльності значною мірою визначають ефективність фізкультурно-оздоровчих програм, що зумовлює необхідність індивідуалізації змісту та навантажень. Помірна варіативність показників гнучкості, зафіксована у нашому дослідженні, підтверджує доцільність диференційованого підходу до планування рекреаційних занять.</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Результати дослідження підтверджують доцільність використання фітнес-технологій у системі фізичної рекреації дівчат 15–17 років, які займаються ігровими видами спорту, та узгоджуються з сучасними науковими підходами. Водночас обмеженість описово-аналітичного характеру дослідження зумовлює необхідність подальших робіт, спрямованих на аналіз динаміки показників і експериментальне обґрунтування ефективності фітнес-програм.</w:t>
      </w:r>
    </w:p>
    <w:p w:rsidR="00CA2F07" w:rsidRPr="00CA2F07" w:rsidRDefault="00CA2F07" w:rsidP="00CA2F07">
      <w:pPr>
        <w:spacing w:after="0" w:line="240" w:lineRule="auto"/>
        <w:ind w:firstLine="709"/>
        <w:jc w:val="both"/>
        <w:rPr>
          <w:rFonts w:eastAsia="Calibri"/>
          <w:sz w:val="24"/>
          <w:szCs w:val="24"/>
        </w:rPr>
      </w:pPr>
      <w:r w:rsidRPr="00CA2F07">
        <w:rPr>
          <w:rFonts w:eastAsia="Calibri"/>
          <w:b/>
          <w:bCs/>
          <w:sz w:val="24"/>
          <w:szCs w:val="24"/>
        </w:rPr>
        <w:t>Висновки.</w:t>
      </w:r>
      <w:r w:rsidRPr="00CA2F07">
        <w:rPr>
          <w:rFonts w:eastAsia="Calibri"/>
          <w:sz w:val="24"/>
          <w:szCs w:val="24"/>
        </w:rPr>
        <w:t xml:space="preserve"> Проведене дослідження підтвердило актуальність проблеми використання фітнес-технологій у системі фізичної рекреації дівчат підліткового віку, які займаються ігровими видами спорту, в контексті сучасних соціальних та освітніх викликів. Аналіз науково-методичної літератури засвідчив зростаючу увагу науковців до рекреаційних форм рухової активності як засобу збереження фізичного та психоемоційного здоров’я підлітків.</w:t>
      </w:r>
    </w:p>
    <w:p w:rsidR="00CA2F07" w:rsidRPr="00CA2F07" w:rsidRDefault="00CA2F07" w:rsidP="00CA2F07">
      <w:pPr>
        <w:spacing w:after="0" w:line="240" w:lineRule="auto"/>
        <w:ind w:firstLine="709"/>
        <w:jc w:val="both"/>
        <w:rPr>
          <w:rFonts w:eastAsia="Calibri"/>
          <w:sz w:val="24"/>
          <w:szCs w:val="24"/>
        </w:rPr>
      </w:pPr>
      <w:r w:rsidRPr="00CA2F07">
        <w:rPr>
          <w:rFonts w:eastAsia="Calibri"/>
          <w:sz w:val="24"/>
          <w:szCs w:val="24"/>
        </w:rPr>
        <w:t>Результати одноразового педагогічного тестування свідчать про відповідність показників фізичної підготовленості дівчат 15–17 років віковим нормативам, що вказує на достатній рівень розвитку основних рухових якостей і функціональної готовності досліджуваної групи. Дані анкетування підтвердили високий рівень зацікавленості учасниць у заняттях із використанням фітнес-технологій, позитивний емоційний фон рекреаційної діяльності та сформовану мотивацію до регулярної рухової активності.</w:t>
      </w:r>
    </w:p>
    <w:p w:rsidR="006D3BDB" w:rsidRDefault="00CA2F07" w:rsidP="00CA2F07">
      <w:pPr>
        <w:spacing w:after="0" w:line="240" w:lineRule="auto"/>
        <w:ind w:firstLine="709"/>
        <w:jc w:val="both"/>
        <w:rPr>
          <w:rFonts w:eastAsia="Calibri"/>
          <w:sz w:val="24"/>
          <w:szCs w:val="24"/>
        </w:rPr>
      </w:pPr>
      <w:r w:rsidRPr="00CA2F07">
        <w:rPr>
          <w:rFonts w:eastAsia="Calibri"/>
          <w:b/>
          <w:sz w:val="24"/>
          <w:szCs w:val="24"/>
        </w:rPr>
        <w:t>Перспективи подальших досліджень.</w:t>
      </w:r>
      <w:r w:rsidRPr="00CA2F07">
        <w:rPr>
          <w:rFonts w:eastAsia="Calibri"/>
          <w:sz w:val="24"/>
          <w:szCs w:val="24"/>
        </w:rPr>
        <w:t xml:space="preserve"> </w:t>
      </w:r>
      <w:r w:rsidR="006D3BDB" w:rsidRPr="00CA2F07">
        <w:rPr>
          <w:rFonts w:eastAsia="Calibri"/>
          <w:sz w:val="24"/>
          <w:szCs w:val="24"/>
        </w:rPr>
        <w:t>Порівняльний аналіз отриманих результатів із літературними даними дозволяє обґрунтувати доцільність застосування фітнес-технологій як ефективного інструменту організації фізичної рекреації дівчат підліткового віку, які займаються ігровими видами спорту. Описово-аналітичний характер дослідження та відсутність повторних вимірювань зумовлюють необхідність подальших наукових пошуків, спрямованих на вивчення динаміки показників фізичної підготовленості та психоемоційного стану в умовах тривалого використання фітнес-технологій у рекреаційній діяльності.</w:t>
      </w:r>
    </w:p>
    <w:p w:rsidR="00CA2F07" w:rsidRDefault="00CA2F07" w:rsidP="00CA2F07">
      <w:pPr>
        <w:spacing w:after="0" w:line="240" w:lineRule="auto"/>
        <w:ind w:firstLine="709"/>
        <w:jc w:val="both"/>
        <w:rPr>
          <w:rFonts w:eastAsia="Calibri"/>
          <w:sz w:val="24"/>
          <w:szCs w:val="24"/>
        </w:rPr>
      </w:pPr>
      <w:r w:rsidRPr="00CA2F07">
        <w:rPr>
          <w:rFonts w:eastAsia="Calibri"/>
          <w:sz w:val="24"/>
          <w:szCs w:val="24"/>
        </w:rPr>
        <w:t>Подальший науковий пошук у цьому напрямі є доцільним і має бути спрямований на поглиблене вивчення ефективності фітнес-технологій у системі фізичної рекреації підлітків з урахуванням тривалості впливу та індивідуальних особливостей.</w:t>
      </w:r>
    </w:p>
    <w:p w:rsidR="006D3BDB" w:rsidRDefault="006D3BDB">
      <w:pPr>
        <w:spacing w:after="160" w:line="259" w:lineRule="auto"/>
        <w:rPr>
          <w:rFonts w:eastAsia="Calibri"/>
          <w:sz w:val="24"/>
          <w:szCs w:val="24"/>
        </w:rPr>
      </w:pPr>
      <w:r>
        <w:rPr>
          <w:rFonts w:eastAsia="Calibri"/>
          <w:sz w:val="24"/>
          <w:szCs w:val="24"/>
        </w:rPr>
        <w:br w:type="page"/>
      </w:r>
    </w:p>
    <w:p w:rsidR="005875A4" w:rsidRPr="00CA2F07" w:rsidRDefault="005875A4" w:rsidP="00CA2F07">
      <w:pPr>
        <w:spacing w:after="0" w:line="240" w:lineRule="auto"/>
        <w:ind w:firstLine="709"/>
        <w:jc w:val="both"/>
        <w:rPr>
          <w:rFonts w:eastAsia="Calibri"/>
          <w:sz w:val="24"/>
          <w:szCs w:val="24"/>
        </w:rPr>
      </w:pPr>
    </w:p>
    <w:p w:rsidR="00CA2F07" w:rsidRPr="00CA2F07" w:rsidRDefault="00CA2F07" w:rsidP="00CA2F07">
      <w:pPr>
        <w:spacing w:after="0" w:line="240" w:lineRule="auto"/>
        <w:ind w:firstLine="709"/>
        <w:jc w:val="center"/>
        <w:rPr>
          <w:rFonts w:eastAsia="Calibri"/>
          <w:b/>
          <w:bCs/>
          <w:sz w:val="20"/>
          <w:szCs w:val="20"/>
        </w:rPr>
      </w:pPr>
      <w:r w:rsidRPr="00CA2F07">
        <w:rPr>
          <w:rFonts w:eastAsia="Calibri"/>
          <w:b/>
          <w:bCs/>
          <w:sz w:val="20"/>
          <w:szCs w:val="20"/>
        </w:rPr>
        <w:t>Список використаних джерел</w:t>
      </w:r>
    </w:p>
    <w:p w:rsidR="00CA2F07" w:rsidRPr="00CA2F07" w:rsidRDefault="00CA2F07" w:rsidP="00CA2F07">
      <w:pPr>
        <w:spacing w:after="0" w:line="240" w:lineRule="auto"/>
        <w:jc w:val="both"/>
        <w:rPr>
          <w:rFonts w:eastAsia="Calibri"/>
          <w:sz w:val="20"/>
          <w:szCs w:val="20"/>
          <w:lang w:val="ru-RU"/>
        </w:rPr>
      </w:pPr>
      <w:r w:rsidRPr="00CA2F07">
        <w:rPr>
          <w:rFonts w:eastAsia="Calibri"/>
          <w:sz w:val="24"/>
          <w:szCs w:val="24"/>
        </w:rPr>
        <w:t xml:space="preserve">1. </w:t>
      </w:r>
      <w:r w:rsidRPr="00CA2F07">
        <w:rPr>
          <w:rFonts w:eastAsia="Calibri"/>
          <w:sz w:val="20"/>
          <w:szCs w:val="20"/>
        </w:rPr>
        <w:t>Круцевич ТЮ. Теорія і методика фізичного виховання. Т. 1. Київ: Олімпійська література; 2012. 392 с.</w:t>
      </w:r>
    </w:p>
    <w:p w:rsidR="00CA2F07" w:rsidRPr="00CA2F07" w:rsidRDefault="00CA2F07" w:rsidP="00CA2F07">
      <w:pPr>
        <w:spacing w:after="0" w:line="240" w:lineRule="auto"/>
        <w:jc w:val="both"/>
        <w:rPr>
          <w:rFonts w:eastAsia="Calibri"/>
          <w:sz w:val="20"/>
          <w:szCs w:val="20"/>
        </w:rPr>
      </w:pPr>
      <w:r w:rsidRPr="00CA2F07">
        <w:rPr>
          <w:rFonts w:eastAsia="Calibri"/>
          <w:sz w:val="20"/>
          <w:szCs w:val="20"/>
          <w:lang w:val="ru-RU"/>
        </w:rPr>
        <w:t xml:space="preserve">2. </w:t>
      </w:r>
      <w:r w:rsidRPr="00CA2F07">
        <w:rPr>
          <w:rFonts w:eastAsia="Calibri"/>
          <w:sz w:val="20"/>
          <w:szCs w:val="20"/>
        </w:rPr>
        <w:t>Платонов ВМ. Система підготовки спортсменів в олімпійському спорті. Загальна теорія та її практичні додатки. Кн. 1–2. Київ: Олімпійська література; 2015. С. 78</w:t>
      </w:r>
      <w:r w:rsidR="006D3BDB">
        <w:rPr>
          <w:rFonts w:eastAsia="Calibri"/>
          <w:sz w:val="20"/>
          <w:szCs w:val="20"/>
        </w:rPr>
        <w:t>-</w:t>
      </w:r>
      <w:r w:rsidRPr="00CA2F07">
        <w:rPr>
          <w:rFonts w:eastAsia="Calibri"/>
          <w:sz w:val="20"/>
          <w:szCs w:val="20"/>
        </w:rPr>
        <w:t>9, 303</w:t>
      </w:r>
      <w:r w:rsidR="006D3BDB">
        <w:rPr>
          <w:rFonts w:eastAsia="Calibri"/>
          <w:sz w:val="20"/>
          <w:szCs w:val="20"/>
        </w:rPr>
        <w:t>-</w:t>
      </w:r>
      <w:r w:rsidRPr="00CA2F07">
        <w:rPr>
          <w:rFonts w:eastAsia="Calibri"/>
          <w:sz w:val="20"/>
          <w:szCs w:val="20"/>
        </w:rPr>
        <w:t>30, 1134</w:t>
      </w:r>
      <w:r w:rsidR="006D3BDB">
        <w:rPr>
          <w:rFonts w:eastAsia="Calibri"/>
          <w:sz w:val="20"/>
          <w:szCs w:val="20"/>
        </w:rPr>
        <w:t>-</w:t>
      </w:r>
      <w:r w:rsidRPr="00CA2F07">
        <w:rPr>
          <w:rFonts w:eastAsia="Calibri"/>
          <w:sz w:val="20"/>
          <w:szCs w:val="20"/>
        </w:rPr>
        <w:t>71.</w:t>
      </w:r>
    </w:p>
    <w:p w:rsidR="00CA2F07" w:rsidRPr="00CA2F07" w:rsidRDefault="00CA2F07" w:rsidP="00CA2F07">
      <w:pPr>
        <w:spacing w:after="0" w:line="240" w:lineRule="auto"/>
        <w:jc w:val="both"/>
        <w:rPr>
          <w:rFonts w:eastAsia="Calibri"/>
          <w:sz w:val="20"/>
          <w:szCs w:val="20"/>
        </w:rPr>
      </w:pPr>
      <w:r w:rsidRPr="00CA2F07">
        <w:rPr>
          <w:rFonts w:eastAsia="Calibri"/>
          <w:sz w:val="20"/>
          <w:szCs w:val="20"/>
        </w:rPr>
        <w:t xml:space="preserve">3. Андрєєва ОВ. Фізична рекреація різних груп населення. Київ: НВП Поліграфсервіс; 2014;280. Доступно: </w:t>
      </w:r>
      <w:hyperlink r:id="rId178" w:history="1">
        <w:r w:rsidRPr="00CA2F07">
          <w:rPr>
            <w:rFonts w:eastAsia="Calibri"/>
            <w:color w:val="0000FF"/>
            <w:sz w:val="20"/>
            <w:szCs w:val="20"/>
            <w:u w:val="single"/>
            <w:lang w:val="ru-RU"/>
          </w:rPr>
          <w:t>https</w:t>
        </w:r>
        <w:r w:rsidRPr="00CA2F07">
          <w:rPr>
            <w:rFonts w:eastAsia="Calibri"/>
            <w:color w:val="0000FF"/>
            <w:sz w:val="20"/>
            <w:szCs w:val="20"/>
            <w:u w:val="single"/>
          </w:rPr>
          <w:t>://</w:t>
        </w:r>
        <w:r w:rsidRPr="00CA2F07">
          <w:rPr>
            <w:rFonts w:eastAsia="Calibri"/>
            <w:color w:val="0000FF"/>
            <w:sz w:val="20"/>
            <w:szCs w:val="20"/>
            <w:u w:val="single"/>
            <w:lang w:val="ru-RU"/>
          </w:rPr>
          <w:t>reposit</w:t>
        </w:r>
        <w:r w:rsidRPr="00CA2F07">
          <w:rPr>
            <w:rFonts w:eastAsia="Calibri"/>
            <w:color w:val="0000FF"/>
            <w:sz w:val="20"/>
            <w:szCs w:val="20"/>
            <w:u w:val="single"/>
          </w:rPr>
          <w:t>.</w:t>
        </w:r>
        <w:r w:rsidRPr="00CA2F07">
          <w:rPr>
            <w:rFonts w:eastAsia="Calibri"/>
            <w:color w:val="0000FF"/>
            <w:sz w:val="20"/>
            <w:szCs w:val="20"/>
            <w:u w:val="single"/>
            <w:lang w:val="ru-RU"/>
          </w:rPr>
          <w:t>uni</w:t>
        </w:r>
        <w:r w:rsidRPr="00CA2F07">
          <w:rPr>
            <w:rFonts w:eastAsia="Calibri"/>
            <w:color w:val="0000FF"/>
            <w:sz w:val="20"/>
            <w:szCs w:val="20"/>
            <w:u w:val="single"/>
          </w:rPr>
          <w:t>-</w:t>
        </w:r>
        <w:r w:rsidRPr="00CA2F07">
          <w:rPr>
            <w:rFonts w:eastAsia="Calibri"/>
            <w:color w:val="0000FF"/>
            <w:sz w:val="20"/>
            <w:szCs w:val="20"/>
            <w:u w:val="single"/>
            <w:lang w:val="ru-RU"/>
          </w:rPr>
          <w:t>sport</w:t>
        </w:r>
        <w:r w:rsidRPr="00CA2F07">
          <w:rPr>
            <w:rFonts w:eastAsia="Calibri"/>
            <w:color w:val="0000FF"/>
            <w:sz w:val="20"/>
            <w:szCs w:val="20"/>
            <w:u w:val="single"/>
          </w:rPr>
          <w:t>.</w:t>
        </w:r>
        <w:r w:rsidRPr="00CA2F07">
          <w:rPr>
            <w:rFonts w:eastAsia="Calibri"/>
            <w:color w:val="0000FF"/>
            <w:sz w:val="20"/>
            <w:szCs w:val="20"/>
            <w:u w:val="single"/>
            <w:lang w:val="ru-RU"/>
          </w:rPr>
          <w:t>edu</w:t>
        </w:r>
        <w:r w:rsidRPr="00CA2F07">
          <w:rPr>
            <w:rFonts w:eastAsia="Calibri"/>
            <w:color w:val="0000FF"/>
            <w:sz w:val="20"/>
            <w:szCs w:val="20"/>
            <w:u w:val="single"/>
          </w:rPr>
          <w:t>.</w:t>
        </w:r>
        <w:r w:rsidRPr="00CA2F07">
          <w:rPr>
            <w:rFonts w:eastAsia="Calibri"/>
            <w:color w:val="0000FF"/>
            <w:sz w:val="20"/>
            <w:szCs w:val="20"/>
            <w:u w:val="single"/>
            <w:lang w:val="ru-RU"/>
          </w:rPr>
          <w:t>ua</w:t>
        </w:r>
        <w:r w:rsidRPr="00CA2F07">
          <w:rPr>
            <w:rFonts w:eastAsia="Calibri"/>
            <w:color w:val="0000FF"/>
            <w:sz w:val="20"/>
            <w:szCs w:val="20"/>
            <w:u w:val="single"/>
          </w:rPr>
          <w:t>/</w:t>
        </w:r>
        <w:r w:rsidRPr="00CA2F07">
          <w:rPr>
            <w:rFonts w:eastAsia="Calibri"/>
            <w:color w:val="0000FF"/>
            <w:sz w:val="20"/>
            <w:szCs w:val="20"/>
            <w:u w:val="single"/>
            <w:lang w:val="ru-RU"/>
          </w:rPr>
          <w:t>server</w:t>
        </w:r>
        <w:r w:rsidRPr="00CA2F07">
          <w:rPr>
            <w:rFonts w:eastAsia="Calibri"/>
            <w:color w:val="0000FF"/>
            <w:sz w:val="20"/>
            <w:szCs w:val="20"/>
            <w:u w:val="single"/>
          </w:rPr>
          <w:t>/</w:t>
        </w:r>
        <w:r w:rsidRPr="00CA2F07">
          <w:rPr>
            <w:rFonts w:eastAsia="Calibri"/>
            <w:color w:val="0000FF"/>
            <w:sz w:val="20"/>
            <w:szCs w:val="20"/>
            <w:u w:val="single"/>
            <w:lang w:val="ru-RU"/>
          </w:rPr>
          <w:t>api</w:t>
        </w:r>
        <w:r w:rsidRPr="00CA2F07">
          <w:rPr>
            <w:rFonts w:eastAsia="Calibri"/>
            <w:color w:val="0000FF"/>
            <w:sz w:val="20"/>
            <w:szCs w:val="20"/>
            <w:u w:val="single"/>
          </w:rPr>
          <w:t>/</w:t>
        </w:r>
        <w:r w:rsidRPr="00CA2F07">
          <w:rPr>
            <w:rFonts w:eastAsia="Calibri"/>
            <w:color w:val="0000FF"/>
            <w:sz w:val="20"/>
            <w:szCs w:val="20"/>
            <w:u w:val="single"/>
            <w:lang w:val="ru-RU"/>
          </w:rPr>
          <w:t>core</w:t>
        </w:r>
        <w:r w:rsidRPr="00CA2F07">
          <w:rPr>
            <w:rFonts w:eastAsia="Calibri"/>
            <w:color w:val="0000FF"/>
            <w:sz w:val="20"/>
            <w:szCs w:val="20"/>
            <w:u w:val="single"/>
          </w:rPr>
          <w:t>/</w:t>
        </w:r>
        <w:r w:rsidRPr="00CA2F07">
          <w:rPr>
            <w:rFonts w:eastAsia="Calibri"/>
            <w:color w:val="0000FF"/>
            <w:sz w:val="20"/>
            <w:szCs w:val="20"/>
            <w:u w:val="single"/>
            <w:lang w:val="ru-RU"/>
          </w:rPr>
          <w:t>bitstreams</w:t>
        </w:r>
        <w:r w:rsidRPr="00CA2F07">
          <w:rPr>
            <w:rFonts w:eastAsia="Calibri"/>
            <w:color w:val="0000FF"/>
            <w:sz w:val="20"/>
            <w:szCs w:val="20"/>
            <w:u w:val="single"/>
          </w:rPr>
          <w:t>/</w:t>
        </w:r>
        <w:r w:rsidRPr="00CA2F07">
          <w:rPr>
            <w:rFonts w:eastAsia="Calibri"/>
            <w:color w:val="0000FF"/>
            <w:sz w:val="20"/>
            <w:szCs w:val="20"/>
            <w:u w:val="single"/>
            <w:lang w:val="ru-RU"/>
          </w:rPr>
          <w:t>f</w:t>
        </w:r>
        <w:r w:rsidRPr="00CA2F07">
          <w:rPr>
            <w:rFonts w:eastAsia="Calibri"/>
            <w:color w:val="0000FF"/>
            <w:sz w:val="20"/>
            <w:szCs w:val="20"/>
            <w:u w:val="single"/>
          </w:rPr>
          <w:t>188332</w:t>
        </w:r>
        <w:r w:rsidRPr="00CA2F07">
          <w:rPr>
            <w:rFonts w:eastAsia="Calibri"/>
            <w:color w:val="0000FF"/>
            <w:sz w:val="20"/>
            <w:szCs w:val="20"/>
            <w:u w:val="single"/>
            <w:lang w:val="ru-RU"/>
          </w:rPr>
          <w:t>f</w:t>
        </w:r>
        <w:r w:rsidRPr="00CA2F07">
          <w:rPr>
            <w:rFonts w:eastAsia="Calibri"/>
            <w:color w:val="0000FF"/>
            <w:sz w:val="20"/>
            <w:szCs w:val="20"/>
            <w:u w:val="single"/>
          </w:rPr>
          <w:t>-</w:t>
        </w:r>
        <w:r w:rsidRPr="00CA2F07">
          <w:rPr>
            <w:rFonts w:eastAsia="Calibri"/>
            <w:color w:val="0000FF"/>
            <w:sz w:val="20"/>
            <w:szCs w:val="20"/>
            <w:u w:val="single"/>
            <w:lang w:val="ru-RU"/>
          </w:rPr>
          <w:t>a</w:t>
        </w:r>
        <w:r w:rsidRPr="00CA2F07">
          <w:rPr>
            <w:rFonts w:eastAsia="Calibri"/>
            <w:color w:val="0000FF"/>
            <w:sz w:val="20"/>
            <w:szCs w:val="20"/>
            <w:u w:val="single"/>
          </w:rPr>
          <w:t>391-4</w:t>
        </w:r>
        <w:r w:rsidRPr="00CA2F07">
          <w:rPr>
            <w:rFonts w:eastAsia="Calibri"/>
            <w:color w:val="0000FF"/>
            <w:sz w:val="20"/>
            <w:szCs w:val="20"/>
            <w:u w:val="single"/>
            <w:lang w:val="ru-RU"/>
          </w:rPr>
          <w:t>ced</w:t>
        </w:r>
        <w:r w:rsidRPr="00CA2F07">
          <w:rPr>
            <w:rFonts w:eastAsia="Calibri"/>
            <w:color w:val="0000FF"/>
            <w:sz w:val="20"/>
            <w:szCs w:val="20"/>
            <w:u w:val="single"/>
          </w:rPr>
          <w:t>-9</w:t>
        </w:r>
        <w:r w:rsidRPr="00CA2F07">
          <w:rPr>
            <w:rFonts w:eastAsia="Calibri"/>
            <w:color w:val="0000FF"/>
            <w:sz w:val="20"/>
            <w:szCs w:val="20"/>
            <w:u w:val="single"/>
            <w:lang w:val="ru-RU"/>
          </w:rPr>
          <w:t>d</w:t>
        </w:r>
        <w:r w:rsidRPr="00CA2F07">
          <w:rPr>
            <w:rFonts w:eastAsia="Calibri"/>
            <w:color w:val="0000FF"/>
            <w:sz w:val="20"/>
            <w:szCs w:val="20"/>
            <w:u w:val="single"/>
          </w:rPr>
          <w:t>97-6</w:t>
        </w:r>
        <w:r w:rsidRPr="00CA2F07">
          <w:rPr>
            <w:rFonts w:eastAsia="Calibri"/>
            <w:color w:val="0000FF"/>
            <w:sz w:val="20"/>
            <w:szCs w:val="20"/>
            <w:u w:val="single"/>
            <w:lang w:val="ru-RU"/>
          </w:rPr>
          <w:t>f</w:t>
        </w:r>
        <w:r w:rsidRPr="00CA2F07">
          <w:rPr>
            <w:rFonts w:eastAsia="Calibri"/>
            <w:color w:val="0000FF"/>
            <w:sz w:val="20"/>
            <w:szCs w:val="20"/>
            <w:u w:val="single"/>
          </w:rPr>
          <w:t>3</w:t>
        </w:r>
        <w:r w:rsidRPr="00CA2F07">
          <w:rPr>
            <w:rFonts w:eastAsia="Calibri"/>
            <w:color w:val="0000FF"/>
            <w:sz w:val="20"/>
            <w:szCs w:val="20"/>
            <w:u w:val="single"/>
            <w:lang w:val="ru-RU"/>
          </w:rPr>
          <w:t>c</w:t>
        </w:r>
        <w:r w:rsidRPr="00CA2F07">
          <w:rPr>
            <w:rFonts w:eastAsia="Calibri"/>
            <w:color w:val="0000FF"/>
            <w:sz w:val="20"/>
            <w:szCs w:val="20"/>
            <w:u w:val="single"/>
          </w:rPr>
          <w:t>3</w:t>
        </w:r>
        <w:r w:rsidRPr="00CA2F07">
          <w:rPr>
            <w:rFonts w:eastAsia="Calibri"/>
            <w:color w:val="0000FF"/>
            <w:sz w:val="20"/>
            <w:szCs w:val="20"/>
            <w:u w:val="single"/>
            <w:lang w:val="ru-RU"/>
          </w:rPr>
          <w:t>eb</w:t>
        </w:r>
        <w:r w:rsidRPr="00CA2F07">
          <w:rPr>
            <w:rFonts w:eastAsia="Calibri"/>
            <w:color w:val="0000FF"/>
            <w:sz w:val="20"/>
            <w:szCs w:val="20"/>
            <w:u w:val="single"/>
          </w:rPr>
          <w:t>7</w:t>
        </w:r>
        <w:r w:rsidRPr="00CA2F07">
          <w:rPr>
            <w:rFonts w:eastAsia="Calibri"/>
            <w:color w:val="0000FF"/>
            <w:sz w:val="20"/>
            <w:szCs w:val="20"/>
            <w:u w:val="single"/>
            <w:lang w:val="ru-RU"/>
          </w:rPr>
          <w:t>b</w:t>
        </w:r>
        <w:r w:rsidRPr="00CA2F07">
          <w:rPr>
            <w:rFonts w:eastAsia="Calibri"/>
            <w:color w:val="0000FF"/>
            <w:sz w:val="20"/>
            <w:szCs w:val="20"/>
            <w:u w:val="single"/>
          </w:rPr>
          <w:t>0</w:t>
        </w:r>
        <w:r w:rsidRPr="00CA2F07">
          <w:rPr>
            <w:rFonts w:eastAsia="Calibri"/>
            <w:color w:val="0000FF"/>
            <w:sz w:val="20"/>
            <w:szCs w:val="20"/>
            <w:u w:val="single"/>
            <w:lang w:val="ru-RU"/>
          </w:rPr>
          <w:t>a</w:t>
        </w:r>
        <w:r w:rsidRPr="00CA2F07">
          <w:rPr>
            <w:rFonts w:eastAsia="Calibri"/>
            <w:color w:val="0000FF"/>
            <w:sz w:val="20"/>
            <w:szCs w:val="20"/>
            <w:u w:val="single"/>
          </w:rPr>
          <w:t>8/</w:t>
        </w:r>
        <w:r w:rsidRPr="00CA2F07">
          <w:rPr>
            <w:rFonts w:eastAsia="Calibri"/>
            <w:color w:val="0000FF"/>
            <w:sz w:val="20"/>
            <w:szCs w:val="20"/>
            <w:u w:val="single"/>
            <w:lang w:val="ru-RU"/>
          </w:rPr>
          <w:t>content</w:t>
        </w:r>
      </w:hyperlink>
      <w:r w:rsidR="006D3BDB" w:rsidRPr="006D3BDB">
        <w:rPr>
          <w:sz w:val="20"/>
        </w:rPr>
        <w:t>.</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ru-RU"/>
        </w:rPr>
        <w:t xml:space="preserve">4. Москаленко НМ. Фізичне виховання школярів з основами здоров’я. Дніпро: Інновація; 2017. </w:t>
      </w:r>
      <w:r w:rsidRPr="00CA2F07">
        <w:rPr>
          <w:rFonts w:eastAsia="Calibri"/>
          <w:sz w:val="20"/>
          <w:szCs w:val="20"/>
          <w:lang w:val="en-US"/>
        </w:rPr>
        <w:t>26</w:t>
      </w:r>
      <w:r w:rsidRPr="00CA2F07">
        <w:rPr>
          <w:rFonts w:eastAsia="Calibri"/>
          <w:sz w:val="20"/>
          <w:szCs w:val="20"/>
        </w:rPr>
        <w:t>0 с</w:t>
      </w:r>
      <w:r w:rsidRPr="00CA2F07">
        <w:rPr>
          <w:rFonts w:eastAsia="Calibri"/>
          <w:sz w:val="20"/>
          <w:szCs w:val="20"/>
          <w:lang w:val="en-US"/>
        </w:rPr>
        <w:t>.</w:t>
      </w:r>
    </w:p>
    <w:p w:rsidR="00CA2F07" w:rsidRPr="00CA2F07" w:rsidRDefault="00CA2F07" w:rsidP="00CA2F07">
      <w:pPr>
        <w:spacing w:after="0" w:line="240" w:lineRule="auto"/>
        <w:jc w:val="both"/>
        <w:rPr>
          <w:rFonts w:eastAsia="Calibri"/>
          <w:sz w:val="20"/>
          <w:szCs w:val="20"/>
        </w:rPr>
      </w:pPr>
      <w:r w:rsidRPr="00CA2F07">
        <w:rPr>
          <w:rFonts w:eastAsia="Calibri"/>
          <w:sz w:val="20"/>
          <w:szCs w:val="20"/>
          <w:lang w:val="en-US"/>
        </w:rPr>
        <w:t>5</w:t>
      </w:r>
      <w:r w:rsidRPr="00CA2F07">
        <w:rPr>
          <w:rFonts w:eastAsia="Calibri"/>
          <w:sz w:val="20"/>
          <w:szCs w:val="20"/>
        </w:rPr>
        <w:t>. Likert, R. (1932). A Technique for the Measurement of Attitudes. Archives of Psychology, 140, 1</w:t>
      </w:r>
      <w:r w:rsidR="006D3BDB">
        <w:rPr>
          <w:rFonts w:eastAsia="Calibri"/>
          <w:sz w:val="20"/>
          <w:szCs w:val="20"/>
        </w:rPr>
        <w:t>-</w:t>
      </w:r>
      <w:r w:rsidRPr="00CA2F07">
        <w:rPr>
          <w:rFonts w:eastAsia="Calibri"/>
          <w:sz w:val="20"/>
          <w:szCs w:val="20"/>
        </w:rPr>
        <w:t>55.</w:t>
      </w:r>
    </w:p>
    <w:p w:rsidR="00CA2F07" w:rsidRPr="00CA2F07" w:rsidRDefault="00CA2F07" w:rsidP="00CA2F07">
      <w:pPr>
        <w:spacing w:after="0" w:line="240" w:lineRule="auto"/>
        <w:jc w:val="both"/>
        <w:rPr>
          <w:rFonts w:eastAsia="Calibri"/>
          <w:sz w:val="20"/>
          <w:szCs w:val="20"/>
        </w:rPr>
      </w:pPr>
      <w:r w:rsidRPr="00CA2F07">
        <w:rPr>
          <w:rFonts w:eastAsia="Calibri"/>
          <w:sz w:val="20"/>
          <w:szCs w:val="20"/>
        </w:rPr>
        <w:t>6. Прилуцький М. Сучасні технології оздоровчо-рекреаційної рухової активності. Педагогічні науки. 2019;(73):31</w:t>
      </w:r>
      <w:r w:rsidR="006D3BDB">
        <w:rPr>
          <w:rFonts w:eastAsia="Calibri"/>
          <w:sz w:val="20"/>
          <w:szCs w:val="20"/>
        </w:rPr>
        <w:t>-</w:t>
      </w:r>
      <w:r w:rsidRPr="00CA2F07">
        <w:rPr>
          <w:rFonts w:eastAsia="Calibri"/>
          <w:sz w:val="20"/>
          <w:szCs w:val="20"/>
        </w:rPr>
        <w:t xml:space="preserve">5. doi: 10.33989/2524-2474.2019.73.180886. Доступно: </w:t>
      </w:r>
      <w:hyperlink r:id="rId179" w:history="1">
        <w:r w:rsidR="006D3BDB" w:rsidRPr="00646581">
          <w:rPr>
            <w:rStyle w:val="af3"/>
            <w:rFonts w:eastAsia="Calibri"/>
            <w:sz w:val="20"/>
            <w:szCs w:val="20"/>
          </w:rPr>
          <w:t>http://dspace.pnpu.edu.ua/bitstream/ 123456789/12845/1/PRYLUTSKYI.pdf</w:t>
        </w:r>
      </w:hyperlink>
      <w:r w:rsidR="006D3BDB">
        <w:rPr>
          <w:rFonts w:eastAsia="Calibri"/>
          <w:color w:val="0000FF"/>
          <w:sz w:val="20"/>
          <w:szCs w:val="20"/>
          <w:u w:val="single"/>
        </w:rPr>
        <w:t>.</w:t>
      </w:r>
    </w:p>
    <w:p w:rsidR="00CA2F07" w:rsidRPr="00CA2F07" w:rsidRDefault="00CA2F07" w:rsidP="00CA2F07">
      <w:pPr>
        <w:spacing w:after="0" w:line="240" w:lineRule="auto"/>
        <w:jc w:val="both"/>
        <w:rPr>
          <w:rFonts w:eastAsia="Calibri"/>
          <w:sz w:val="20"/>
          <w:szCs w:val="20"/>
          <w:lang w:val="ru-RU"/>
        </w:rPr>
      </w:pPr>
      <w:r w:rsidRPr="00CA2F07">
        <w:rPr>
          <w:rFonts w:eastAsia="Calibri"/>
          <w:sz w:val="20"/>
          <w:szCs w:val="20"/>
          <w:lang w:val="ru-RU"/>
        </w:rPr>
        <w:t>7</w:t>
      </w:r>
      <w:r w:rsidRPr="00CA2F07">
        <w:rPr>
          <w:rFonts w:eastAsia="Calibri"/>
          <w:sz w:val="20"/>
          <w:szCs w:val="20"/>
        </w:rPr>
        <w:t>. Назарук ВЛ, Полівода СС. Сучасні фітнес-технології в оздоровчо-рекреаційній діяльності жінок. Медсестринство. 2023;(1):34</w:t>
      </w:r>
      <w:r w:rsidR="006D3BDB">
        <w:rPr>
          <w:rFonts w:eastAsia="Calibri"/>
          <w:sz w:val="20"/>
          <w:szCs w:val="20"/>
        </w:rPr>
        <w:t>-</w:t>
      </w:r>
      <w:r w:rsidRPr="00CA2F07">
        <w:rPr>
          <w:rFonts w:eastAsia="Calibri"/>
          <w:sz w:val="20"/>
          <w:szCs w:val="20"/>
        </w:rPr>
        <w:t>7.</w:t>
      </w:r>
      <w:r w:rsidR="006D3BDB">
        <w:rPr>
          <w:rFonts w:eastAsia="Calibri"/>
          <w:sz w:val="20"/>
          <w:szCs w:val="20"/>
        </w:rPr>
        <w:t xml:space="preserve"> </w:t>
      </w:r>
      <w:r w:rsidRPr="00CA2F07">
        <w:rPr>
          <w:rFonts w:eastAsia="Calibri"/>
          <w:sz w:val="20"/>
          <w:szCs w:val="20"/>
          <w:lang w:val="ru-RU"/>
        </w:rPr>
        <w:t xml:space="preserve">Доступно: </w:t>
      </w:r>
      <w:hyperlink r:id="rId180" w:history="1">
        <w:r w:rsidR="006D3BDB" w:rsidRPr="00646581">
          <w:rPr>
            <w:rStyle w:val="af3"/>
            <w:rFonts w:eastAsia="Calibri"/>
            <w:sz w:val="20"/>
            <w:szCs w:val="20"/>
            <w:lang w:val="ru-RU"/>
          </w:rPr>
          <w:t>https://ojs.tdmu.edu.ua/index.php/nursing/article/view/ 13882/12871</w:t>
        </w:r>
      </w:hyperlink>
      <w:r w:rsidR="00577D33">
        <w:rPr>
          <w:rFonts w:eastAsia="Calibri"/>
          <w:color w:val="0000FF"/>
          <w:sz w:val="20"/>
          <w:szCs w:val="20"/>
          <w:u w:val="single"/>
          <w:lang w:val="ru-RU"/>
        </w:rPr>
        <w:t>.</w:t>
      </w:r>
    </w:p>
    <w:p w:rsidR="00CA2F07" w:rsidRPr="00CA2F07" w:rsidRDefault="00CA2F07" w:rsidP="00CA2F07">
      <w:pPr>
        <w:spacing w:after="0" w:line="240" w:lineRule="auto"/>
        <w:jc w:val="both"/>
        <w:rPr>
          <w:rFonts w:eastAsia="Calibri"/>
          <w:sz w:val="20"/>
          <w:szCs w:val="20"/>
        </w:rPr>
      </w:pPr>
      <w:r w:rsidRPr="00CA2F07">
        <w:rPr>
          <w:rFonts w:eastAsia="Calibri"/>
          <w:sz w:val="20"/>
          <w:szCs w:val="20"/>
          <w:lang w:val="ru-RU"/>
        </w:rPr>
        <w:t>8</w:t>
      </w:r>
      <w:r w:rsidRPr="00CA2F07">
        <w:rPr>
          <w:rFonts w:eastAsia="Calibri"/>
          <w:sz w:val="20"/>
          <w:szCs w:val="20"/>
        </w:rPr>
        <w:t>. Бутенко ГО. Оптимізація рухової активності підлітків у рамках фізичної рекреації. Олімпійський та паралімпійський спорт. 2025;(3):12</w:t>
      </w:r>
      <w:r w:rsidR="006D3BDB">
        <w:rPr>
          <w:rFonts w:eastAsia="Calibri"/>
          <w:sz w:val="20"/>
          <w:szCs w:val="20"/>
        </w:rPr>
        <w:t>-</w:t>
      </w:r>
      <w:r w:rsidRPr="00CA2F07">
        <w:rPr>
          <w:rFonts w:eastAsia="Calibri"/>
          <w:sz w:val="20"/>
          <w:szCs w:val="20"/>
        </w:rPr>
        <w:t xml:space="preserve">6. </w:t>
      </w:r>
      <w:bookmarkStart w:id="59" w:name="_Hlk221206773"/>
      <w:r w:rsidRPr="00CA2F07">
        <w:rPr>
          <w:rFonts w:eastAsia="Calibri"/>
          <w:color w:val="000000"/>
          <w:sz w:val="20"/>
          <w:szCs w:val="20"/>
        </w:rPr>
        <w:t xml:space="preserve">DOI: </w:t>
      </w:r>
      <w:bookmarkEnd w:id="59"/>
      <w:r w:rsidR="007A5447" w:rsidRPr="00CA2F07">
        <w:rPr>
          <w:rFonts w:eastAsia="Calibri"/>
          <w:color w:val="0000FF"/>
          <w:sz w:val="20"/>
          <w:szCs w:val="20"/>
          <w:u w:val="single"/>
          <w:lang w:val="ru-RU"/>
        </w:rPr>
        <w:fldChar w:fldCharType="begin"/>
      </w:r>
      <w:r w:rsidRPr="00CA2F07">
        <w:rPr>
          <w:rFonts w:eastAsia="Calibri"/>
          <w:color w:val="0000FF"/>
          <w:sz w:val="20"/>
          <w:szCs w:val="20"/>
          <w:u w:val="single"/>
        </w:rPr>
        <w:instrText xml:space="preserve"> </w:instrText>
      </w:r>
      <w:r w:rsidRPr="00CA2F07">
        <w:rPr>
          <w:rFonts w:eastAsia="Calibri"/>
          <w:color w:val="0000FF"/>
          <w:sz w:val="20"/>
          <w:szCs w:val="20"/>
          <w:u w:val="single"/>
          <w:lang w:val="ru-RU"/>
        </w:rPr>
        <w:instrText>HYPERLINK</w:instrText>
      </w:r>
      <w:r w:rsidRPr="00CA2F07">
        <w:rPr>
          <w:rFonts w:eastAsia="Calibri"/>
          <w:color w:val="0000FF"/>
          <w:sz w:val="20"/>
          <w:szCs w:val="20"/>
          <w:u w:val="single"/>
        </w:rPr>
        <w:instrText xml:space="preserve"> "</w:instrText>
      </w:r>
      <w:r w:rsidRPr="00CA2F07">
        <w:rPr>
          <w:rFonts w:eastAsia="Calibri"/>
          <w:color w:val="0000FF"/>
          <w:sz w:val="20"/>
          <w:szCs w:val="20"/>
          <w:u w:val="single"/>
          <w:lang w:val="ru-RU"/>
        </w:rPr>
        <w:instrText>https</w:instrText>
      </w:r>
      <w:r w:rsidRPr="00CA2F07">
        <w:rPr>
          <w:rFonts w:eastAsia="Calibri"/>
          <w:color w:val="0000FF"/>
          <w:sz w:val="20"/>
          <w:szCs w:val="20"/>
          <w:u w:val="single"/>
        </w:rPr>
        <w:instrText>://</w:instrText>
      </w:r>
      <w:r w:rsidRPr="00CA2F07">
        <w:rPr>
          <w:rFonts w:eastAsia="Calibri"/>
          <w:color w:val="0000FF"/>
          <w:sz w:val="20"/>
          <w:szCs w:val="20"/>
          <w:u w:val="single"/>
          <w:lang w:val="ru-RU"/>
        </w:rPr>
        <w:instrText>doi</w:instrText>
      </w:r>
      <w:r w:rsidRPr="00CA2F07">
        <w:rPr>
          <w:rFonts w:eastAsia="Calibri"/>
          <w:color w:val="0000FF"/>
          <w:sz w:val="20"/>
          <w:szCs w:val="20"/>
          <w:u w:val="single"/>
        </w:rPr>
        <w:instrText>.</w:instrText>
      </w:r>
      <w:r w:rsidRPr="00CA2F07">
        <w:rPr>
          <w:rFonts w:eastAsia="Calibri"/>
          <w:color w:val="0000FF"/>
          <w:sz w:val="20"/>
          <w:szCs w:val="20"/>
          <w:u w:val="single"/>
          <w:lang w:val="ru-RU"/>
        </w:rPr>
        <w:instrText>org</w:instrText>
      </w:r>
      <w:r w:rsidRPr="00CA2F07">
        <w:rPr>
          <w:rFonts w:eastAsia="Calibri"/>
          <w:color w:val="0000FF"/>
          <w:sz w:val="20"/>
          <w:szCs w:val="20"/>
          <w:u w:val="single"/>
        </w:rPr>
        <w:instrText>/10.32782/</w:instrText>
      </w:r>
      <w:r w:rsidRPr="00CA2F07">
        <w:rPr>
          <w:rFonts w:eastAsia="Calibri"/>
          <w:color w:val="0000FF"/>
          <w:sz w:val="20"/>
          <w:szCs w:val="20"/>
          <w:u w:val="single"/>
          <w:lang w:val="ru-RU"/>
        </w:rPr>
        <w:instrText>olimpspu</w:instrText>
      </w:r>
      <w:r w:rsidRPr="00CA2F07">
        <w:rPr>
          <w:rFonts w:eastAsia="Calibri"/>
          <w:color w:val="0000FF"/>
          <w:sz w:val="20"/>
          <w:szCs w:val="20"/>
          <w:u w:val="single"/>
        </w:rPr>
        <w:instrText xml:space="preserve">/2025.3.2" </w:instrText>
      </w:r>
      <w:r w:rsidR="007A5447" w:rsidRPr="00CA2F07">
        <w:rPr>
          <w:rFonts w:eastAsia="Calibri"/>
          <w:color w:val="0000FF"/>
          <w:sz w:val="20"/>
          <w:szCs w:val="20"/>
          <w:u w:val="single"/>
          <w:lang w:val="ru-RU"/>
        </w:rPr>
        <w:fldChar w:fldCharType="separate"/>
      </w:r>
      <w:r w:rsidRPr="00CA2F07">
        <w:rPr>
          <w:rFonts w:eastAsia="Calibri"/>
          <w:color w:val="0000FF"/>
          <w:sz w:val="20"/>
          <w:szCs w:val="20"/>
          <w:u w:val="single"/>
          <w:lang w:val="ru-RU"/>
        </w:rPr>
        <w:t>https</w:t>
      </w:r>
      <w:r w:rsidRPr="00CA2F07">
        <w:rPr>
          <w:rFonts w:eastAsia="Calibri"/>
          <w:color w:val="0000FF"/>
          <w:sz w:val="20"/>
          <w:szCs w:val="20"/>
          <w:u w:val="single"/>
        </w:rPr>
        <w:t>://</w:t>
      </w:r>
      <w:r w:rsidRPr="00CA2F07">
        <w:rPr>
          <w:rFonts w:eastAsia="Calibri"/>
          <w:color w:val="0000FF"/>
          <w:sz w:val="20"/>
          <w:szCs w:val="20"/>
          <w:u w:val="single"/>
          <w:lang w:val="ru-RU"/>
        </w:rPr>
        <w:t>doi</w:t>
      </w:r>
      <w:r w:rsidRPr="00CA2F07">
        <w:rPr>
          <w:rFonts w:eastAsia="Calibri"/>
          <w:color w:val="0000FF"/>
          <w:sz w:val="20"/>
          <w:szCs w:val="20"/>
          <w:u w:val="single"/>
        </w:rPr>
        <w:t>.</w:t>
      </w:r>
      <w:r w:rsidRPr="00CA2F07">
        <w:rPr>
          <w:rFonts w:eastAsia="Calibri"/>
          <w:color w:val="0000FF"/>
          <w:sz w:val="20"/>
          <w:szCs w:val="20"/>
          <w:u w:val="single"/>
          <w:lang w:val="ru-RU"/>
        </w:rPr>
        <w:t>org</w:t>
      </w:r>
      <w:r w:rsidRPr="00CA2F07">
        <w:rPr>
          <w:rFonts w:eastAsia="Calibri"/>
          <w:color w:val="0000FF"/>
          <w:sz w:val="20"/>
          <w:szCs w:val="20"/>
          <w:u w:val="single"/>
        </w:rPr>
        <w:t>/10.32782/</w:t>
      </w:r>
      <w:r w:rsidRPr="00CA2F07">
        <w:rPr>
          <w:rFonts w:eastAsia="Calibri"/>
          <w:color w:val="0000FF"/>
          <w:sz w:val="20"/>
          <w:szCs w:val="20"/>
          <w:u w:val="single"/>
          <w:lang w:val="ru-RU"/>
        </w:rPr>
        <w:t>olimpspu</w:t>
      </w:r>
      <w:r w:rsidRPr="00CA2F07">
        <w:rPr>
          <w:rFonts w:eastAsia="Calibri"/>
          <w:color w:val="0000FF"/>
          <w:sz w:val="20"/>
          <w:szCs w:val="20"/>
          <w:u w:val="single"/>
        </w:rPr>
        <w:t>/2025.3.2</w:t>
      </w:r>
      <w:r w:rsidR="007A5447" w:rsidRPr="00CA2F07">
        <w:rPr>
          <w:rFonts w:eastAsia="Calibri"/>
          <w:color w:val="0000FF"/>
          <w:sz w:val="20"/>
          <w:szCs w:val="20"/>
          <w:u w:val="single"/>
          <w:lang w:val="ru-RU"/>
        </w:rPr>
        <w:fldChar w:fldCharType="end"/>
      </w:r>
      <w:r w:rsidR="00577D33">
        <w:rPr>
          <w:rFonts w:eastAsia="Calibri"/>
          <w:color w:val="0000FF"/>
          <w:sz w:val="20"/>
          <w:szCs w:val="20"/>
          <w:u w:val="single"/>
          <w:lang w:val="ru-RU"/>
        </w:rPr>
        <w:t>.</w:t>
      </w:r>
    </w:p>
    <w:p w:rsidR="00CA2F07" w:rsidRPr="00577D33" w:rsidRDefault="00CA2F07" w:rsidP="00CA2F07">
      <w:pPr>
        <w:spacing w:after="0" w:line="240" w:lineRule="auto"/>
        <w:jc w:val="both"/>
        <w:rPr>
          <w:rFonts w:eastAsia="Calibri"/>
          <w:color w:val="0000FF"/>
          <w:sz w:val="20"/>
          <w:szCs w:val="20"/>
          <w:u w:val="single"/>
          <w:lang w:val="ru-RU"/>
        </w:rPr>
      </w:pPr>
      <w:r w:rsidRPr="00CA2F07">
        <w:rPr>
          <w:rFonts w:eastAsia="Calibri"/>
          <w:sz w:val="20"/>
          <w:szCs w:val="20"/>
        </w:rPr>
        <w:t>9. Хлус Н</w:t>
      </w:r>
      <w:r w:rsidRPr="00CA2F07">
        <w:rPr>
          <w:rFonts w:ascii="Calibri" w:eastAsia="Calibri" w:hAnsi="Calibri" w:cs="Arial"/>
          <w:sz w:val="20"/>
          <w:szCs w:val="20"/>
        </w:rPr>
        <w:t xml:space="preserve"> </w:t>
      </w:r>
      <w:r w:rsidRPr="00CA2F07">
        <w:rPr>
          <w:rFonts w:eastAsia="Calibri"/>
          <w:sz w:val="20"/>
          <w:szCs w:val="20"/>
        </w:rPr>
        <w:t>Дослідження мотивації до рухової активності учнів середнього шкільного віку. Фізична культура, спорт та здоров’я нації. 2025;19(38):103</w:t>
      </w:r>
      <w:r w:rsidR="00577D33">
        <w:rPr>
          <w:rFonts w:eastAsia="Calibri"/>
          <w:sz w:val="20"/>
          <w:szCs w:val="20"/>
        </w:rPr>
        <w:t>-</w:t>
      </w:r>
      <w:r w:rsidRPr="00CA2F07">
        <w:rPr>
          <w:rFonts w:eastAsia="Calibri"/>
          <w:sz w:val="20"/>
          <w:szCs w:val="20"/>
        </w:rPr>
        <w:t xml:space="preserve">14. DOI: </w:t>
      </w:r>
      <w:hyperlink r:id="rId181" w:history="1">
        <w:r w:rsidRPr="00CA2F07">
          <w:rPr>
            <w:rFonts w:eastAsia="Calibri"/>
            <w:color w:val="0000FF"/>
            <w:sz w:val="20"/>
            <w:szCs w:val="20"/>
            <w:u w:val="single"/>
          </w:rPr>
          <w:t>https://doi.org/10.31652/2071-5285-2025-19(38)-103-114</w:t>
        </w:r>
      </w:hyperlink>
      <w:r w:rsidR="00577D33" w:rsidRPr="00577D33">
        <w:rPr>
          <w:sz w:val="20"/>
          <w:szCs w:val="20"/>
        </w:rPr>
        <w:t>.</w:t>
      </w:r>
    </w:p>
    <w:p w:rsidR="00CA2F07" w:rsidRPr="00CA2F07" w:rsidRDefault="00CA2F07" w:rsidP="00CA2F07">
      <w:pPr>
        <w:spacing w:after="0" w:line="240" w:lineRule="auto"/>
        <w:jc w:val="both"/>
        <w:rPr>
          <w:rFonts w:eastAsia="Calibri"/>
          <w:sz w:val="20"/>
          <w:szCs w:val="20"/>
        </w:rPr>
      </w:pPr>
      <w:r w:rsidRPr="00CA2F07">
        <w:rPr>
          <w:rFonts w:eastAsia="Calibri"/>
          <w:sz w:val="20"/>
          <w:szCs w:val="20"/>
        </w:rPr>
        <w:t>10. Андрєєва О. Мотиваційно-ціннісні орієнтації суб’єктів рекреаційної діяльності у фізкультурно-оздоровчих об’єднаннях. Молода спортивна наука України. 2010;14:143</w:t>
      </w:r>
      <w:r w:rsidR="00577D33">
        <w:rPr>
          <w:rFonts w:eastAsia="Calibri"/>
          <w:sz w:val="20"/>
          <w:szCs w:val="20"/>
        </w:rPr>
        <w:t>-</w:t>
      </w:r>
      <w:r w:rsidRPr="00CA2F07">
        <w:rPr>
          <w:rFonts w:eastAsia="Calibri"/>
          <w:sz w:val="20"/>
          <w:szCs w:val="20"/>
        </w:rPr>
        <w:t>47</w:t>
      </w:r>
      <w:r w:rsidR="00577D33">
        <w:rPr>
          <w:rFonts w:eastAsia="Calibri"/>
          <w:sz w:val="20"/>
          <w:szCs w:val="20"/>
        </w:rPr>
        <w:t>.</w:t>
      </w:r>
    </w:p>
    <w:p w:rsidR="00CA2F07" w:rsidRPr="00CA2F07" w:rsidRDefault="00CA2F07" w:rsidP="00CA2F07">
      <w:pPr>
        <w:spacing w:after="0" w:line="240" w:lineRule="auto"/>
        <w:ind w:firstLine="709"/>
        <w:jc w:val="center"/>
        <w:rPr>
          <w:rFonts w:eastAsia="Calibri"/>
          <w:b/>
          <w:bCs/>
          <w:sz w:val="24"/>
          <w:szCs w:val="24"/>
        </w:rPr>
      </w:pPr>
    </w:p>
    <w:p w:rsidR="00CA2F07" w:rsidRPr="00CA2F07" w:rsidRDefault="00CA2F07" w:rsidP="00CA2F07">
      <w:pPr>
        <w:spacing w:after="0" w:line="240" w:lineRule="auto"/>
        <w:jc w:val="center"/>
        <w:rPr>
          <w:rFonts w:eastAsia="Calibri"/>
          <w:b/>
          <w:bCs/>
          <w:sz w:val="20"/>
          <w:szCs w:val="20"/>
        </w:rPr>
      </w:pPr>
      <w:r w:rsidRPr="00CA2F07">
        <w:rPr>
          <w:rFonts w:eastAsia="Calibri"/>
          <w:b/>
          <w:bCs/>
          <w:sz w:val="20"/>
          <w:szCs w:val="20"/>
          <w:lang w:val="en-US"/>
        </w:rPr>
        <w:t>References</w:t>
      </w:r>
    </w:p>
    <w:p w:rsidR="00CA2F07" w:rsidRPr="00CA2F07" w:rsidRDefault="00CA2F07" w:rsidP="00CA2F07">
      <w:pPr>
        <w:spacing w:after="0" w:line="240" w:lineRule="auto"/>
        <w:jc w:val="both"/>
        <w:rPr>
          <w:rFonts w:eastAsia="Calibri"/>
          <w:sz w:val="20"/>
          <w:szCs w:val="20"/>
          <w:lang w:val="it-IT"/>
        </w:rPr>
      </w:pPr>
      <w:r w:rsidRPr="00CA2F07">
        <w:rPr>
          <w:rFonts w:eastAsia="Calibri"/>
          <w:sz w:val="20"/>
          <w:szCs w:val="20"/>
        </w:rPr>
        <w:t xml:space="preserve">1. </w:t>
      </w:r>
      <w:r w:rsidRPr="00CA2F07">
        <w:rPr>
          <w:rFonts w:eastAsia="Calibri"/>
          <w:sz w:val="20"/>
          <w:szCs w:val="20"/>
          <w:lang w:val="en-US"/>
        </w:rPr>
        <w:t>Krutsevych</w:t>
      </w:r>
      <w:r w:rsidRPr="00CA2F07">
        <w:rPr>
          <w:rFonts w:eastAsia="Calibri"/>
          <w:sz w:val="20"/>
          <w:szCs w:val="20"/>
        </w:rPr>
        <w:t xml:space="preserve"> </w:t>
      </w:r>
      <w:r w:rsidRPr="00CA2F07">
        <w:rPr>
          <w:rFonts w:eastAsia="Calibri"/>
          <w:sz w:val="20"/>
          <w:szCs w:val="20"/>
          <w:lang w:val="en-US"/>
        </w:rPr>
        <w:t>TYu</w:t>
      </w:r>
      <w:r w:rsidRPr="00CA2F07">
        <w:rPr>
          <w:rFonts w:eastAsia="Calibri"/>
          <w:sz w:val="20"/>
          <w:szCs w:val="20"/>
        </w:rPr>
        <w:t xml:space="preserve">. </w:t>
      </w:r>
      <w:r w:rsidRPr="00CA2F07">
        <w:rPr>
          <w:rFonts w:eastAsia="Calibri"/>
          <w:sz w:val="20"/>
          <w:szCs w:val="20"/>
          <w:lang w:val="en-US"/>
        </w:rPr>
        <w:t>Teoriia</w:t>
      </w:r>
      <w:r w:rsidRPr="00CA2F07">
        <w:rPr>
          <w:rFonts w:eastAsia="Calibri"/>
          <w:sz w:val="20"/>
          <w:szCs w:val="20"/>
        </w:rPr>
        <w:t xml:space="preserve"> </w:t>
      </w:r>
      <w:r w:rsidRPr="00CA2F07">
        <w:rPr>
          <w:rFonts w:eastAsia="Calibri"/>
          <w:sz w:val="20"/>
          <w:szCs w:val="20"/>
          <w:lang w:val="en-US"/>
        </w:rPr>
        <w:t>i</w:t>
      </w:r>
      <w:r w:rsidRPr="00CA2F07">
        <w:rPr>
          <w:rFonts w:eastAsia="Calibri"/>
          <w:sz w:val="20"/>
          <w:szCs w:val="20"/>
        </w:rPr>
        <w:t xml:space="preserve"> </w:t>
      </w:r>
      <w:r w:rsidRPr="00CA2F07">
        <w:rPr>
          <w:rFonts w:eastAsia="Calibri"/>
          <w:sz w:val="20"/>
          <w:szCs w:val="20"/>
          <w:lang w:val="en-US"/>
        </w:rPr>
        <w:t>metodyka</w:t>
      </w:r>
      <w:r w:rsidRPr="00CA2F07">
        <w:rPr>
          <w:rFonts w:eastAsia="Calibri"/>
          <w:sz w:val="20"/>
          <w:szCs w:val="20"/>
        </w:rPr>
        <w:t xml:space="preserve"> </w:t>
      </w:r>
      <w:r w:rsidRPr="00CA2F07">
        <w:rPr>
          <w:rFonts w:eastAsia="Calibri"/>
          <w:sz w:val="20"/>
          <w:szCs w:val="20"/>
          <w:lang w:val="en-US"/>
        </w:rPr>
        <w:t>fizychnoho</w:t>
      </w:r>
      <w:r w:rsidRPr="00CA2F07">
        <w:rPr>
          <w:rFonts w:eastAsia="Calibri"/>
          <w:sz w:val="20"/>
          <w:szCs w:val="20"/>
        </w:rPr>
        <w:t xml:space="preserve"> </w:t>
      </w:r>
      <w:r w:rsidRPr="00CA2F07">
        <w:rPr>
          <w:rFonts w:eastAsia="Calibri"/>
          <w:sz w:val="20"/>
          <w:szCs w:val="20"/>
          <w:lang w:val="en-US"/>
        </w:rPr>
        <w:t>vykhovannia</w:t>
      </w:r>
      <w:r w:rsidRPr="00CA2F07">
        <w:rPr>
          <w:rFonts w:eastAsia="Calibri"/>
          <w:sz w:val="20"/>
          <w:szCs w:val="20"/>
        </w:rPr>
        <w:t xml:space="preserve">. </w:t>
      </w:r>
      <w:r w:rsidRPr="00CA2F07">
        <w:rPr>
          <w:rFonts w:eastAsia="Calibri"/>
          <w:sz w:val="20"/>
          <w:szCs w:val="20"/>
          <w:lang w:val="it-IT"/>
        </w:rPr>
        <w:t>Vol. 1. Kyiv: Olimpiiska liter</w:t>
      </w:r>
      <w:r w:rsidR="00577D33">
        <w:rPr>
          <w:rFonts w:eastAsia="Calibri"/>
          <w:sz w:val="20"/>
          <w:szCs w:val="20"/>
          <w:lang w:val="it-IT"/>
        </w:rPr>
        <w:t>atura; 2012. 392</w:t>
      </w:r>
      <w:r w:rsidR="00577D33">
        <w:rPr>
          <w:rFonts w:eastAsia="Calibri"/>
          <w:sz w:val="20"/>
          <w:szCs w:val="20"/>
        </w:rPr>
        <w:t> </w:t>
      </w:r>
      <w:r w:rsidRPr="00CA2F07">
        <w:rPr>
          <w:rFonts w:eastAsia="Calibri"/>
          <w:sz w:val="20"/>
          <w:szCs w:val="20"/>
          <w:lang w:val="it-IT"/>
        </w:rPr>
        <w:t>p. [in Ukrainian].</w:t>
      </w:r>
    </w:p>
    <w:p w:rsidR="00CA2F07" w:rsidRPr="00CA2F07" w:rsidRDefault="00CA2F07" w:rsidP="00CA2F07">
      <w:pPr>
        <w:spacing w:after="0" w:line="240" w:lineRule="auto"/>
        <w:jc w:val="both"/>
        <w:rPr>
          <w:rFonts w:eastAsia="Calibri"/>
          <w:sz w:val="20"/>
          <w:szCs w:val="20"/>
          <w:lang w:val="it-IT"/>
        </w:rPr>
      </w:pPr>
      <w:r w:rsidRPr="00CA2F07">
        <w:rPr>
          <w:rFonts w:eastAsia="Calibri"/>
          <w:sz w:val="20"/>
          <w:szCs w:val="20"/>
          <w:lang w:val="it-IT"/>
        </w:rPr>
        <w:t>2. Platonov VM. Systema pidhotovky sportsmeniv v olimpiiskomu sporti. Zahalna teoriia ta yii praktychni dodatky. Vols 1–2. Kyiv: Olimpiiska literatura; 2015. p. 78</w:t>
      </w:r>
      <w:r w:rsidR="00577D33">
        <w:rPr>
          <w:rFonts w:eastAsia="Calibri"/>
          <w:sz w:val="20"/>
          <w:szCs w:val="20"/>
        </w:rPr>
        <w:t>-</w:t>
      </w:r>
      <w:r w:rsidRPr="00CA2F07">
        <w:rPr>
          <w:rFonts w:eastAsia="Calibri"/>
          <w:sz w:val="20"/>
          <w:szCs w:val="20"/>
          <w:lang w:val="it-IT"/>
        </w:rPr>
        <w:t>9, 303</w:t>
      </w:r>
      <w:r w:rsidR="00577D33">
        <w:rPr>
          <w:rFonts w:eastAsia="Calibri"/>
          <w:sz w:val="20"/>
          <w:szCs w:val="20"/>
        </w:rPr>
        <w:t>-</w:t>
      </w:r>
      <w:r w:rsidRPr="00CA2F07">
        <w:rPr>
          <w:rFonts w:eastAsia="Calibri"/>
          <w:sz w:val="20"/>
          <w:szCs w:val="20"/>
          <w:lang w:val="it-IT"/>
        </w:rPr>
        <w:t>30, 1134</w:t>
      </w:r>
      <w:r w:rsidR="00577D33">
        <w:rPr>
          <w:rFonts w:eastAsia="Calibri"/>
          <w:sz w:val="20"/>
          <w:szCs w:val="20"/>
        </w:rPr>
        <w:t>-</w:t>
      </w:r>
      <w:r w:rsidRPr="00CA2F07">
        <w:rPr>
          <w:rFonts w:eastAsia="Calibri"/>
          <w:sz w:val="20"/>
          <w:szCs w:val="20"/>
          <w:lang w:val="it-IT"/>
        </w:rPr>
        <w:t>71. [in Ukrainian].</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it-IT"/>
        </w:rPr>
        <w:t>3. Andrieieva OV. Fizy</w:t>
      </w:r>
      <w:r w:rsidRPr="00CA2F07">
        <w:rPr>
          <w:rFonts w:eastAsia="Calibri"/>
          <w:sz w:val="20"/>
          <w:szCs w:val="20"/>
          <w:lang w:val="en-US"/>
        </w:rPr>
        <w:t>чна</w:t>
      </w:r>
      <w:r w:rsidRPr="00CA2F07">
        <w:rPr>
          <w:rFonts w:eastAsia="Calibri"/>
          <w:sz w:val="20"/>
          <w:szCs w:val="20"/>
          <w:lang w:val="it-IT"/>
        </w:rPr>
        <w:t xml:space="preserve"> rekreatsiia riznykh hrup naselennia. Kyiv: NVP Polihrafservis; 2014. </w:t>
      </w:r>
      <w:r w:rsidRPr="00CA2F07">
        <w:rPr>
          <w:rFonts w:eastAsia="Calibri"/>
          <w:sz w:val="20"/>
          <w:szCs w:val="20"/>
          <w:lang w:val="en-US"/>
        </w:rPr>
        <w:t xml:space="preserve">280 p. Available from: </w:t>
      </w:r>
      <w:hyperlink r:id="rId182" w:history="1">
        <w:r w:rsidRPr="00CA2F07">
          <w:rPr>
            <w:rFonts w:eastAsia="Calibri"/>
            <w:color w:val="0000FF"/>
            <w:sz w:val="20"/>
            <w:szCs w:val="20"/>
            <w:u w:val="single"/>
            <w:lang w:val="en-US"/>
          </w:rPr>
          <w:t>https://reposit.uni-sport.edu.ua/server/api/core/bitstreams/f188332f-a391-4ced-9d97-6f3c3eb7b0a8/</w:t>
        </w:r>
      </w:hyperlink>
      <w:r w:rsidRPr="00CA2F07">
        <w:rPr>
          <w:rFonts w:eastAsia="Calibri"/>
          <w:sz w:val="20"/>
          <w:szCs w:val="20"/>
          <w:lang w:val="en-US"/>
        </w:rPr>
        <w:t xml:space="preserve"> content [in Ukrainian].</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en-US"/>
        </w:rPr>
        <w:t>4. Moskalenko NM. Fizychne vykhovannia shkoliariv z osnovamy zdorovia. Dnipro: Innovatsiia; 2017. 260 p. [in Ukrainian].</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en-US"/>
        </w:rPr>
        <w:t>5. Likert R. A Technique for the Measurement of Attitudes. Archives of Psychology. 1932;140:1</w:t>
      </w:r>
      <w:r w:rsidR="00577D33">
        <w:rPr>
          <w:rFonts w:eastAsia="Calibri"/>
          <w:sz w:val="20"/>
          <w:szCs w:val="20"/>
        </w:rPr>
        <w:t>-</w:t>
      </w:r>
      <w:r w:rsidRPr="00CA2F07">
        <w:rPr>
          <w:rFonts w:eastAsia="Calibri"/>
          <w:sz w:val="20"/>
          <w:szCs w:val="20"/>
          <w:lang w:val="en-US"/>
        </w:rPr>
        <w:t>55.</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en-US"/>
        </w:rPr>
        <w:t>6. Prylutskyi M. Suchasni tekhnolohii ozdorovcho-rekreatsiinoi rukhovoi aktyvnosti. Pedahohichni nauky. 2019;(73):31</w:t>
      </w:r>
      <w:r w:rsidR="00577D33">
        <w:rPr>
          <w:rFonts w:eastAsia="Calibri"/>
          <w:sz w:val="20"/>
          <w:szCs w:val="20"/>
        </w:rPr>
        <w:t>-</w:t>
      </w:r>
      <w:r w:rsidRPr="00CA2F07">
        <w:rPr>
          <w:rFonts w:eastAsia="Calibri"/>
          <w:sz w:val="20"/>
          <w:szCs w:val="20"/>
          <w:lang w:val="en-US"/>
        </w:rPr>
        <w:t>5.</w:t>
      </w:r>
      <w:r w:rsidRPr="00CA2F07">
        <w:rPr>
          <w:rFonts w:eastAsia="Calibri"/>
          <w:sz w:val="20"/>
          <w:szCs w:val="20"/>
        </w:rPr>
        <w:t xml:space="preserve"> </w:t>
      </w:r>
      <w:hyperlink r:id="rId183" w:history="1">
        <w:r w:rsidRPr="00CA2F07">
          <w:rPr>
            <w:rFonts w:eastAsia="Calibri"/>
            <w:color w:val="0000FF"/>
            <w:sz w:val="20"/>
            <w:szCs w:val="20"/>
            <w:u w:val="single"/>
          </w:rPr>
          <w:t>http://dspace.pnpu.edu.ua/bitstream/123456789/12845/1/PRYLUTSKYI.pdf</w:t>
        </w:r>
      </w:hyperlink>
      <w:r w:rsidRPr="00CA2F07">
        <w:rPr>
          <w:rFonts w:eastAsia="Calibri"/>
          <w:color w:val="0000FF"/>
          <w:sz w:val="20"/>
          <w:szCs w:val="20"/>
          <w:lang w:val="en-US"/>
        </w:rPr>
        <w:t xml:space="preserve"> </w:t>
      </w:r>
      <w:r w:rsidRPr="00CA2F07">
        <w:rPr>
          <w:rFonts w:eastAsia="Calibri"/>
          <w:sz w:val="20"/>
          <w:szCs w:val="20"/>
          <w:lang w:val="en-US"/>
        </w:rPr>
        <w:t xml:space="preserve"> [in Ukrainian].</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en-US"/>
        </w:rPr>
        <w:t>7. Nazaruk VL, Polivoda SS. Suchasni fitnes-tekhnolohii v ozdorovcho-rekreatsiinii diialnosti zhinok. Medsestrynstvo. 2023;(1):34</w:t>
      </w:r>
      <w:r w:rsidR="00577D33">
        <w:rPr>
          <w:rFonts w:eastAsia="Calibri"/>
          <w:sz w:val="20"/>
          <w:szCs w:val="20"/>
        </w:rPr>
        <w:t>-</w:t>
      </w:r>
      <w:r w:rsidRPr="00CA2F07">
        <w:rPr>
          <w:rFonts w:eastAsia="Calibri"/>
          <w:sz w:val="20"/>
          <w:szCs w:val="20"/>
          <w:lang w:val="en-US"/>
        </w:rPr>
        <w:t>7. Available from:</w:t>
      </w:r>
      <w:r w:rsidRPr="00CA2F07">
        <w:rPr>
          <w:rFonts w:eastAsia="Calibri"/>
          <w:sz w:val="20"/>
          <w:szCs w:val="20"/>
        </w:rPr>
        <w:t xml:space="preserve"> </w:t>
      </w:r>
      <w:hyperlink r:id="rId184" w:history="1">
        <w:r w:rsidRPr="00CA2F07">
          <w:rPr>
            <w:rFonts w:eastAsia="Calibri"/>
            <w:color w:val="0000FF"/>
            <w:sz w:val="20"/>
            <w:szCs w:val="20"/>
            <w:u w:val="single"/>
            <w:lang w:val="en-US"/>
          </w:rPr>
          <w:t>https://ojs.tdmu.edu.ua/index.php/nursing/article/view/13882/12871</w:t>
        </w:r>
      </w:hyperlink>
      <w:r w:rsidRPr="00CA2F07">
        <w:rPr>
          <w:rFonts w:eastAsia="Calibri"/>
          <w:color w:val="0000FF"/>
          <w:sz w:val="20"/>
          <w:szCs w:val="20"/>
          <w:lang w:val="en-US"/>
        </w:rPr>
        <w:t xml:space="preserve"> </w:t>
      </w:r>
      <w:r w:rsidRPr="00CA2F07">
        <w:rPr>
          <w:rFonts w:eastAsia="Calibri"/>
          <w:sz w:val="20"/>
          <w:szCs w:val="20"/>
          <w:lang w:val="en-US"/>
        </w:rPr>
        <w:t>[in Ukrainian].</w:t>
      </w:r>
    </w:p>
    <w:p w:rsidR="00CA2F07" w:rsidRPr="00CA2F07" w:rsidRDefault="00CA2F07" w:rsidP="00CA2F07">
      <w:pPr>
        <w:spacing w:after="0" w:line="240" w:lineRule="auto"/>
        <w:jc w:val="both"/>
        <w:rPr>
          <w:rFonts w:eastAsia="Calibri"/>
          <w:sz w:val="20"/>
          <w:szCs w:val="20"/>
          <w:lang w:val="en-US"/>
        </w:rPr>
      </w:pPr>
      <w:r w:rsidRPr="00CA2F07">
        <w:rPr>
          <w:rFonts w:eastAsia="Calibri"/>
          <w:sz w:val="20"/>
          <w:szCs w:val="20"/>
          <w:lang w:val="en-US"/>
        </w:rPr>
        <w:t>8. Butenko HO. Optymizatsiia rukhovoi aktyvnosti pidlitkiv u ramkakh fizychnoi rekreatsii. Olimpiiskyi ta paralimpiiskyi sport. 2025;(3):12</w:t>
      </w:r>
      <w:r w:rsidR="00577D33">
        <w:rPr>
          <w:rFonts w:eastAsia="Calibri"/>
          <w:sz w:val="20"/>
          <w:szCs w:val="20"/>
        </w:rPr>
        <w:t>-</w:t>
      </w:r>
      <w:r w:rsidRPr="00CA2F07">
        <w:rPr>
          <w:rFonts w:eastAsia="Calibri"/>
          <w:sz w:val="20"/>
          <w:szCs w:val="20"/>
          <w:lang w:val="en-US"/>
        </w:rPr>
        <w:t xml:space="preserve">6. </w:t>
      </w:r>
      <w:r w:rsidRPr="00CA2F07">
        <w:rPr>
          <w:rFonts w:eastAsia="Calibri"/>
          <w:color w:val="000000"/>
          <w:sz w:val="20"/>
          <w:szCs w:val="20"/>
        </w:rPr>
        <w:t>DOI</w:t>
      </w:r>
      <w:r w:rsidRPr="00CA2F07">
        <w:rPr>
          <w:rFonts w:eastAsia="Calibri"/>
          <w:sz w:val="20"/>
          <w:szCs w:val="20"/>
        </w:rPr>
        <w:t>:</w:t>
      </w:r>
      <w:hyperlink r:id="rId185" w:history="1">
        <w:r w:rsidRPr="00CA2F07">
          <w:rPr>
            <w:rFonts w:eastAsia="Calibri"/>
            <w:color w:val="0000FF"/>
            <w:sz w:val="20"/>
            <w:szCs w:val="20"/>
            <w:u w:val="single"/>
            <w:lang w:val="en-US"/>
          </w:rPr>
          <w:t>https://doi.org/10.32782/olimpspu/2025.3.2</w:t>
        </w:r>
      </w:hyperlink>
      <w:r w:rsidRPr="00CA2F07">
        <w:rPr>
          <w:rFonts w:eastAsia="Calibri"/>
          <w:sz w:val="20"/>
          <w:szCs w:val="20"/>
          <w:lang w:val="en-US"/>
        </w:rPr>
        <w:t xml:space="preserve"> [in Ukrainian].</w:t>
      </w:r>
    </w:p>
    <w:p w:rsidR="00CA2F07" w:rsidRPr="00CA2F07" w:rsidRDefault="00CA2F07" w:rsidP="00CA2F07">
      <w:pPr>
        <w:spacing w:after="0" w:line="240" w:lineRule="auto"/>
        <w:jc w:val="both"/>
        <w:rPr>
          <w:rFonts w:eastAsia="Calibri"/>
          <w:sz w:val="20"/>
          <w:szCs w:val="20"/>
          <w:lang w:val="it-IT"/>
        </w:rPr>
      </w:pPr>
      <w:r w:rsidRPr="00CA2F07">
        <w:rPr>
          <w:rFonts w:eastAsia="Calibri"/>
          <w:sz w:val="20"/>
          <w:szCs w:val="20"/>
          <w:lang w:val="en-US"/>
        </w:rPr>
        <w:t xml:space="preserve">9. Khlus N. Doslidzhennia motyvatsii do rukhovoi aktyvnosti uchniv serednoho shkilnoho viku. </w:t>
      </w:r>
      <w:r w:rsidRPr="00CA2F07">
        <w:rPr>
          <w:rFonts w:eastAsia="Calibri"/>
          <w:sz w:val="20"/>
          <w:szCs w:val="20"/>
          <w:lang w:val="it-IT"/>
        </w:rPr>
        <w:t>Fizy</w:t>
      </w:r>
      <w:r w:rsidRPr="00CA2F07">
        <w:rPr>
          <w:rFonts w:eastAsia="Calibri"/>
          <w:sz w:val="20"/>
          <w:szCs w:val="20"/>
          <w:lang w:val="en-US"/>
        </w:rPr>
        <w:t>чна</w:t>
      </w:r>
      <w:r w:rsidRPr="00CA2F07">
        <w:rPr>
          <w:rFonts w:eastAsia="Calibri"/>
          <w:sz w:val="20"/>
          <w:szCs w:val="20"/>
          <w:lang w:val="it-IT"/>
        </w:rPr>
        <w:t xml:space="preserve"> kultura, sport ta zdorovia natsii. 2025;19(38):103</w:t>
      </w:r>
      <w:r w:rsidR="00577D33">
        <w:rPr>
          <w:rFonts w:eastAsia="Calibri"/>
          <w:sz w:val="20"/>
          <w:szCs w:val="20"/>
        </w:rPr>
        <w:t>-</w:t>
      </w:r>
      <w:r w:rsidRPr="00CA2F07">
        <w:rPr>
          <w:rFonts w:eastAsia="Calibri"/>
          <w:sz w:val="20"/>
          <w:szCs w:val="20"/>
          <w:lang w:val="it-IT"/>
        </w:rPr>
        <w:t xml:space="preserve">14. </w:t>
      </w:r>
      <w:r w:rsidRPr="00CA2F07">
        <w:rPr>
          <w:rFonts w:eastAsia="Calibri"/>
          <w:color w:val="000000"/>
          <w:sz w:val="20"/>
          <w:szCs w:val="20"/>
        </w:rPr>
        <w:t>DOI</w:t>
      </w:r>
      <w:r w:rsidRPr="00CA2F07">
        <w:rPr>
          <w:rFonts w:eastAsia="Calibri"/>
          <w:sz w:val="20"/>
          <w:szCs w:val="20"/>
        </w:rPr>
        <w:t>:</w:t>
      </w:r>
      <w:r w:rsidRPr="00CA2F07">
        <w:rPr>
          <w:rFonts w:eastAsia="Calibri"/>
          <w:sz w:val="20"/>
          <w:szCs w:val="20"/>
          <w:lang w:val="it-IT"/>
        </w:rPr>
        <w:t xml:space="preserve"> </w:t>
      </w:r>
      <w:hyperlink r:id="rId186" w:history="1">
        <w:r w:rsidRPr="00CA2F07">
          <w:rPr>
            <w:rFonts w:eastAsia="Calibri"/>
            <w:color w:val="0000FF"/>
            <w:sz w:val="20"/>
            <w:szCs w:val="20"/>
            <w:u w:val="single"/>
            <w:lang w:val="it-IT"/>
          </w:rPr>
          <w:t>https://doi.org/10.31652/2071-5285-2025-19(38)-103-114</w:t>
        </w:r>
      </w:hyperlink>
      <w:r w:rsidRPr="00CA2F07">
        <w:rPr>
          <w:rFonts w:eastAsia="Calibri"/>
          <w:sz w:val="20"/>
          <w:szCs w:val="20"/>
          <w:lang w:val="it-IT"/>
        </w:rPr>
        <w:t xml:space="preserve"> [in Ukrainian].</w:t>
      </w:r>
    </w:p>
    <w:p w:rsidR="00CA2F07" w:rsidRPr="00CA2F07" w:rsidRDefault="00CA2F07" w:rsidP="00CA2F07">
      <w:pPr>
        <w:spacing w:after="0" w:line="240" w:lineRule="auto"/>
        <w:jc w:val="both"/>
        <w:rPr>
          <w:rFonts w:eastAsia="Calibri"/>
          <w:sz w:val="20"/>
          <w:szCs w:val="20"/>
          <w:lang w:val="it-IT"/>
        </w:rPr>
      </w:pPr>
      <w:r w:rsidRPr="00CA2F07">
        <w:rPr>
          <w:rFonts w:eastAsia="Calibri"/>
          <w:sz w:val="20"/>
          <w:szCs w:val="20"/>
          <w:lang w:val="it-IT"/>
        </w:rPr>
        <w:t>10. Andrieieva O. Motyvatsiino-tsinnisni oriientatsii subiektiv rekreatsiinoi diialnosti u fizkulturno-ozdorovchykh obiednanniakh. Moloda sportyvna nauka Ukrainy. 2010;14:143</w:t>
      </w:r>
      <w:r w:rsidR="00577D33">
        <w:rPr>
          <w:rFonts w:eastAsia="Calibri"/>
          <w:sz w:val="20"/>
          <w:szCs w:val="20"/>
        </w:rPr>
        <w:t>-</w:t>
      </w:r>
      <w:r w:rsidRPr="00CA2F07">
        <w:rPr>
          <w:rFonts w:eastAsia="Calibri"/>
          <w:sz w:val="20"/>
          <w:szCs w:val="20"/>
          <w:lang w:val="it-IT"/>
        </w:rPr>
        <w:t>7. [in Ukrainian].</w:t>
      </w:r>
    </w:p>
    <w:p w:rsidR="00CA2F07" w:rsidRPr="00CA2F07" w:rsidRDefault="00CA2F07" w:rsidP="00CA2F07">
      <w:pPr>
        <w:autoSpaceDE w:val="0"/>
        <w:autoSpaceDN w:val="0"/>
        <w:adjustRightInd w:val="0"/>
        <w:spacing w:after="0" w:line="240" w:lineRule="auto"/>
        <w:ind w:left="1069"/>
        <w:jc w:val="both"/>
        <w:rPr>
          <w:rFonts w:eastAsia="Calibri"/>
          <w:sz w:val="20"/>
          <w:szCs w:val="20"/>
        </w:rPr>
      </w:pPr>
    </w:p>
    <w:p w:rsidR="00CA2F07" w:rsidRPr="00CA2F07" w:rsidRDefault="00CA2F07" w:rsidP="00CA2F07">
      <w:pPr>
        <w:autoSpaceDE w:val="0"/>
        <w:autoSpaceDN w:val="0"/>
        <w:adjustRightInd w:val="0"/>
        <w:spacing w:after="0" w:line="240" w:lineRule="auto"/>
        <w:ind w:left="1069"/>
        <w:jc w:val="both"/>
        <w:rPr>
          <w:rFonts w:eastAsia="Calibri"/>
          <w:sz w:val="20"/>
          <w:szCs w:val="20"/>
        </w:rPr>
      </w:pPr>
    </w:p>
    <w:tbl>
      <w:tblPr>
        <w:tblStyle w:val="7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CA2F07" w:rsidRPr="00CA2F07" w:rsidTr="00CA2F07">
        <w:tc>
          <w:tcPr>
            <w:tcW w:w="9286" w:type="dxa"/>
            <w:shd w:val="clear" w:color="auto" w:fill="BFBFBF"/>
          </w:tcPr>
          <w:p w:rsidR="00CA2F07" w:rsidRPr="00CA2F07" w:rsidRDefault="00CA2F07" w:rsidP="00CA2F07">
            <w:pPr>
              <w:spacing w:before="100" w:after="100" w:line="240" w:lineRule="auto"/>
              <w:jc w:val="both"/>
              <w:rPr>
                <w:b/>
                <w:sz w:val="20"/>
                <w:szCs w:val="20"/>
                <w:lang w:eastAsia="uk-UA"/>
              </w:rPr>
            </w:pPr>
            <w:r w:rsidRPr="00CA2F07">
              <w:rPr>
                <w:b/>
                <w:sz w:val="20"/>
                <w:szCs w:val="20"/>
                <w:lang w:eastAsia="uk-UA"/>
              </w:rPr>
              <w:t>Цитування на</w:t>
            </w:r>
            <w:r w:rsidRPr="00CA2F07">
              <w:rPr>
                <w:b/>
                <w:spacing w:val="2"/>
                <w:sz w:val="20"/>
                <w:szCs w:val="20"/>
                <w:lang w:eastAsia="uk-UA"/>
              </w:rPr>
              <w:t xml:space="preserve"> </w:t>
            </w:r>
            <w:r w:rsidRPr="00CA2F07">
              <w:rPr>
                <w:b/>
                <w:sz w:val="20"/>
                <w:szCs w:val="20"/>
                <w:lang w:eastAsia="uk-UA"/>
              </w:rPr>
              <w:t>цю статтю:</w:t>
            </w:r>
          </w:p>
        </w:tc>
      </w:tr>
      <w:tr w:rsidR="00CA2F07" w:rsidRPr="00CA2F07" w:rsidTr="00C07F42">
        <w:tc>
          <w:tcPr>
            <w:tcW w:w="9286" w:type="dxa"/>
          </w:tcPr>
          <w:p w:rsidR="00CA2F07" w:rsidRPr="00CA2F07" w:rsidRDefault="00CA2F07" w:rsidP="00CA2F07">
            <w:pPr>
              <w:spacing w:before="100" w:beforeAutospacing="1" w:after="100" w:afterAutospacing="1" w:line="240" w:lineRule="auto"/>
              <w:jc w:val="both"/>
              <w:rPr>
                <w:i/>
                <w:sz w:val="20"/>
                <w:szCs w:val="20"/>
                <w:lang w:eastAsia="uk-UA"/>
              </w:rPr>
            </w:pPr>
            <w:r w:rsidRPr="00CA2F07">
              <w:rPr>
                <w:rFonts w:eastAsia="Calibri"/>
                <w:bCs/>
                <w:sz w:val="20"/>
                <w:szCs w:val="20"/>
                <w:lang w:eastAsia="uk-UA"/>
              </w:rPr>
              <w:t>Арабаджи ТД., Арабаджи АЮ., Капустіна ТВ.</w:t>
            </w:r>
            <w:r w:rsidRPr="00CA2F07">
              <w:rPr>
                <w:kern w:val="1"/>
                <w:sz w:val="20"/>
                <w:szCs w:val="20"/>
                <w:lang w:eastAsia="uk-UA" w:bidi="hi-IN"/>
              </w:rPr>
              <w:t xml:space="preserve"> </w:t>
            </w:r>
            <w:r w:rsidRPr="00CA2F07">
              <w:rPr>
                <w:bCs/>
                <w:sz w:val="20"/>
                <w:szCs w:val="20"/>
                <w:lang w:eastAsia="uk-UA"/>
              </w:rPr>
              <w:t>Фітнес-технології як інструмент організації фізичної рекреації різних груп населення</w:t>
            </w:r>
            <w:r w:rsidRPr="00CA2F07">
              <w:rPr>
                <w:kern w:val="1"/>
                <w:sz w:val="20"/>
                <w:szCs w:val="20"/>
                <w:lang w:eastAsia="uk-UA" w:bidi="hi-IN"/>
              </w:rPr>
              <w:t xml:space="preserve">. </w:t>
            </w:r>
            <w:r w:rsidRPr="00CA2F07">
              <w:rPr>
                <w:sz w:val="20"/>
                <w:szCs w:val="20"/>
                <w:lang w:eastAsia="uk-UA"/>
              </w:rPr>
              <w:t xml:space="preserve">Вісник Прикарпатського університету. </w:t>
            </w:r>
            <w:r w:rsidRPr="00CA2F07">
              <w:rPr>
                <w:kern w:val="1"/>
                <w:sz w:val="20"/>
                <w:szCs w:val="20"/>
                <w:lang w:eastAsia="uk-UA" w:bidi="hi-IN"/>
              </w:rPr>
              <w:t xml:space="preserve">Серія: Фізична </w:t>
            </w:r>
            <w:r w:rsidRPr="00CA2F07">
              <w:rPr>
                <w:spacing w:val="-1"/>
                <w:kern w:val="1"/>
                <w:sz w:val="20"/>
                <w:szCs w:val="20"/>
                <w:lang w:eastAsia="uk-UA" w:bidi="hi-IN"/>
              </w:rPr>
              <w:t>культура.</w:t>
            </w:r>
            <w:r w:rsidRPr="00CA2F07">
              <w:rPr>
                <w:spacing w:val="5"/>
                <w:kern w:val="1"/>
                <w:sz w:val="20"/>
                <w:szCs w:val="20"/>
                <w:lang w:eastAsia="uk-UA" w:bidi="hi-IN"/>
              </w:rPr>
              <w:t xml:space="preserve"> </w:t>
            </w:r>
            <w:r w:rsidRPr="00CA2F07">
              <w:rPr>
                <w:spacing w:val="1"/>
                <w:kern w:val="1"/>
                <w:sz w:val="20"/>
                <w:szCs w:val="20"/>
                <w:lang w:eastAsia="uk-UA" w:bidi="hi-IN"/>
              </w:rPr>
              <w:t>2026</w:t>
            </w:r>
            <w:r w:rsidRPr="00CA2F07">
              <w:rPr>
                <w:kern w:val="1"/>
                <w:sz w:val="20"/>
                <w:szCs w:val="20"/>
                <w:lang w:eastAsia="uk-UA" w:bidi="hi-IN"/>
              </w:rPr>
              <w:t xml:space="preserve"> </w:t>
            </w:r>
            <w:r w:rsidRPr="00CA2F07">
              <w:rPr>
                <w:spacing w:val="-1"/>
                <w:kern w:val="1"/>
                <w:sz w:val="20"/>
                <w:szCs w:val="20"/>
                <w:lang w:eastAsia="uk-UA" w:bidi="hi-IN"/>
              </w:rPr>
              <w:t>Травень 05</w:t>
            </w:r>
            <w:r w:rsidRPr="00CA2F07">
              <w:rPr>
                <w:spacing w:val="1"/>
                <w:kern w:val="1"/>
                <w:sz w:val="20"/>
                <w:szCs w:val="20"/>
                <w:lang w:eastAsia="uk-UA" w:bidi="hi-IN"/>
              </w:rPr>
              <w:t>;</w:t>
            </w:r>
            <w:r w:rsidRPr="00CA2F07">
              <w:rPr>
                <w:spacing w:val="-1"/>
                <w:kern w:val="1"/>
                <w:sz w:val="20"/>
                <w:szCs w:val="20"/>
                <w:lang w:eastAsia="uk-UA" w:bidi="hi-IN"/>
              </w:rPr>
              <w:t xml:space="preserve"> </w:t>
            </w:r>
            <w:r w:rsidRPr="00CA2F07">
              <w:rPr>
                <w:spacing w:val="1"/>
                <w:kern w:val="1"/>
                <w:sz w:val="20"/>
                <w:szCs w:val="20"/>
                <w:lang w:eastAsia="uk-UA" w:bidi="hi-IN"/>
              </w:rPr>
              <w:t>46: 55</w:t>
            </w:r>
            <w:r w:rsidRPr="00CA2F07">
              <w:rPr>
                <w:kern w:val="1"/>
                <w:sz w:val="20"/>
                <w:szCs w:val="20"/>
                <w:lang w:eastAsia="uk-UA" w:bidi="hi-IN"/>
              </w:rPr>
              <w:t>-60</w:t>
            </w:r>
            <w:r w:rsidRPr="00CA2F07">
              <w:rPr>
                <w:sz w:val="20"/>
                <w:szCs w:val="20"/>
                <w:lang w:eastAsia="uk-UA"/>
              </w:rPr>
              <w:t>.</w:t>
            </w:r>
          </w:p>
        </w:tc>
      </w:tr>
    </w:tbl>
    <w:p w:rsidR="00CA2F07" w:rsidRPr="00CA2F07" w:rsidRDefault="00CA2F07" w:rsidP="00CA2F07">
      <w:pPr>
        <w:autoSpaceDE w:val="0"/>
        <w:autoSpaceDN w:val="0"/>
        <w:adjustRightInd w:val="0"/>
        <w:spacing w:after="0" w:line="240" w:lineRule="auto"/>
        <w:ind w:left="709"/>
        <w:jc w:val="both"/>
        <w:rPr>
          <w:rFonts w:eastAsia="Calibri"/>
          <w:sz w:val="20"/>
          <w:szCs w:val="20"/>
        </w:rPr>
      </w:pPr>
    </w:p>
    <w:p w:rsidR="00CA2F07" w:rsidRPr="00CA2F07" w:rsidRDefault="00CA2F07" w:rsidP="00CA2F07">
      <w:pPr>
        <w:autoSpaceDE w:val="0"/>
        <w:autoSpaceDN w:val="0"/>
        <w:adjustRightInd w:val="0"/>
        <w:spacing w:after="0" w:line="240" w:lineRule="auto"/>
        <w:ind w:left="709"/>
        <w:jc w:val="both"/>
        <w:rPr>
          <w:rFonts w:eastAsia="Calibri"/>
          <w:sz w:val="20"/>
          <w:szCs w:val="20"/>
        </w:rPr>
      </w:pPr>
    </w:p>
    <w:tbl>
      <w:tblPr>
        <w:tblStyle w:val="71"/>
        <w:tblW w:w="9322" w:type="dxa"/>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322"/>
      </w:tblGrid>
      <w:tr w:rsidR="00CA2F07" w:rsidRPr="00CA2F07" w:rsidTr="0004467E">
        <w:tc>
          <w:tcPr>
            <w:tcW w:w="9322" w:type="dxa"/>
            <w:shd w:val="clear" w:color="auto" w:fill="BFBFBF"/>
          </w:tcPr>
          <w:p w:rsidR="00CA2F07" w:rsidRPr="00CA2F07" w:rsidRDefault="00CA2F07" w:rsidP="00CA2F07">
            <w:pPr>
              <w:spacing w:after="0" w:line="240" w:lineRule="auto"/>
              <w:jc w:val="both"/>
              <w:rPr>
                <w:b/>
                <w:sz w:val="20"/>
                <w:szCs w:val="20"/>
                <w:lang w:eastAsia="uk-UA"/>
              </w:rPr>
            </w:pPr>
            <w:r w:rsidRPr="00CA2F07">
              <w:rPr>
                <w:b/>
                <w:sz w:val="20"/>
                <w:szCs w:val="20"/>
                <w:lang w:eastAsia="uk-UA"/>
              </w:rPr>
              <w:t>Відомості про авторів</w:t>
            </w:r>
          </w:p>
        </w:tc>
      </w:tr>
      <w:tr w:rsidR="00CA2F07" w:rsidRPr="00CA2F07" w:rsidTr="0004467E">
        <w:tc>
          <w:tcPr>
            <w:tcW w:w="9322" w:type="dxa"/>
          </w:tcPr>
          <w:p w:rsidR="00CA2F07" w:rsidRPr="00CA2F07" w:rsidRDefault="00CA2F07" w:rsidP="00CA2F07">
            <w:pPr>
              <w:spacing w:after="0" w:line="240" w:lineRule="auto"/>
              <w:jc w:val="both"/>
              <w:rPr>
                <w:rFonts w:eastAsia="Calibri"/>
                <w:spacing w:val="-6"/>
                <w:sz w:val="20"/>
                <w:szCs w:val="20"/>
              </w:rPr>
            </w:pPr>
            <w:r w:rsidRPr="00CA2F07">
              <w:rPr>
                <w:rFonts w:eastAsia="Calibri"/>
                <w:b/>
                <w:i/>
                <w:spacing w:val="-6"/>
                <w:sz w:val="20"/>
                <w:szCs w:val="20"/>
              </w:rPr>
              <w:t>Арабаджи Тимур Дмитрович</w:t>
            </w:r>
            <w:r w:rsidRPr="00CA2F07">
              <w:rPr>
                <w:rFonts w:eastAsia="Calibri"/>
                <w:spacing w:val="-6"/>
                <w:sz w:val="20"/>
                <w:szCs w:val="20"/>
              </w:rPr>
              <w:t xml:space="preserve"> - професор, кандидат педагогічних наук, доцент кафедри фізичного виховання НТУ «</w:t>
            </w:r>
            <w:r w:rsidRPr="00CA2F07">
              <w:rPr>
                <w:rFonts w:eastAsia="Calibri"/>
                <w:sz w:val="20"/>
                <w:szCs w:val="20"/>
              </w:rPr>
              <w:t>Харківський політехнічний інститут</w:t>
            </w:r>
            <w:r w:rsidRPr="00CA2F07">
              <w:rPr>
                <w:rFonts w:eastAsia="Calibri"/>
                <w:spacing w:val="-6"/>
                <w:sz w:val="20"/>
                <w:szCs w:val="20"/>
              </w:rPr>
              <w:t xml:space="preserve">», </w:t>
            </w:r>
          </w:p>
          <w:p w:rsidR="00CA2F07" w:rsidRPr="00CA2F07" w:rsidRDefault="00CA2F07" w:rsidP="00CA2F07">
            <w:pPr>
              <w:spacing w:after="0" w:line="240" w:lineRule="auto"/>
              <w:jc w:val="both"/>
              <w:rPr>
                <w:rFonts w:eastAsia="Calibri"/>
                <w:spacing w:val="-6"/>
                <w:sz w:val="20"/>
                <w:szCs w:val="20"/>
              </w:rPr>
            </w:pPr>
            <w:r w:rsidRPr="00CA2F07">
              <w:rPr>
                <w:rFonts w:eastAsia="Calibri"/>
                <w:sz w:val="20"/>
                <w:szCs w:val="20"/>
              </w:rPr>
              <w:t>https://orcid.org/</w:t>
            </w:r>
            <w:r w:rsidRPr="00CA2F07">
              <w:rPr>
                <w:rFonts w:eastAsia="Calibri"/>
                <w:spacing w:val="-6"/>
                <w:sz w:val="20"/>
                <w:szCs w:val="20"/>
              </w:rPr>
              <w:t>0000-0002-8702-4480.</w:t>
            </w:r>
          </w:p>
          <w:p w:rsidR="00CA2F07" w:rsidRPr="00CA2F07" w:rsidRDefault="00CA2F07" w:rsidP="00CA2F07">
            <w:pPr>
              <w:spacing w:after="0" w:line="240" w:lineRule="auto"/>
              <w:jc w:val="both"/>
              <w:rPr>
                <w:rFonts w:eastAsia="Calibri"/>
                <w:i/>
                <w:sz w:val="20"/>
                <w:szCs w:val="20"/>
              </w:rPr>
            </w:pPr>
            <w:r w:rsidRPr="00CA2F07">
              <w:rPr>
                <w:rFonts w:eastAsia="Calibri"/>
                <w:sz w:val="20"/>
                <w:szCs w:val="20"/>
              </w:rPr>
              <w:t>e-mail:</w:t>
            </w:r>
            <w:hyperlink r:id="rId187" w:history="1">
              <w:r w:rsidRPr="00CA2F07">
                <w:rPr>
                  <w:rFonts w:eastAsia="Calibri"/>
                  <w:color w:val="0000FF"/>
                  <w:sz w:val="20"/>
                  <w:szCs w:val="20"/>
                  <w:u w:val="single"/>
                  <w:lang w:val="en-US"/>
                </w:rPr>
                <w:t>timur</w:t>
              </w:r>
              <w:r w:rsidRPr="00CA2F07">
                <w:rPr>
                  <w:rFonts w:eastAsia="Calibri"/>
                  <w:color w:val="0000FF"/>
                  <w:sz w:val="20"/>
                  <w:szCs w:val="20"/>
                  <w:u w:val="single"/>
                </w:rPr>
                <w:t>.</w:t>
              </w:r>
              <w:r w:rsidRPr="00CA2F07">
                <w:rPr>
                  <w:rFonts w:eastAsia="Calibri"/>
                  <w:color w:val="0000FF"/>
                  <w:sz w:val="20"/>
                  <w:szCs w:val="20"/>
                  <w:u w:val="single"/>
                  <w:lang w:val="en-US"/>
                </w:rPr>
                <w:t>arabadzhy</w:t>
              </w:r>
              <w:r w:rsidRPr="00CA2F07">
                <w:rPr>
                  <w:rFonts w:eastAsia="Calibri"/>
                  <w:color w:val="0000FF"/>
                  <w:sz w:val="20"/>
                  <w:szCs w:val="20"/>
                  <w:u w:val="single"/>
                </w:rPr>
                <w:t>@</w:t>
              </w:r>
              <w:r w:rsidRPr="00CA2F07">
                <w:rPr>
                  <w:rFonts w:eastAsia="Calibri"/>
                  <w:color w:val="0000FF"/>
                  <w:sz w:val="20"/>
                  <w:szCs w:val="20"/>
                  <w:u w:val="single"/>
                  <w:lang w:val="en-US"/>
                </w:rPr>
                <w:t>khpi</w:t>
              </w:r>
              <w:r w:rsidRPr="00CA2F07">
                <w:rPr>
                  <w:rFonts w:eastAsia="Calibri"/>
                  <w:color w:val="0000FF"/>
                  <w:sz w:val="20"/>
                  <w:szCs w:val="20"/>
                  <w:u w:val="single"/>
                </w:rPr>
                <w:t>.</w:t>
              </w:r>
              <w:r w:rsidRPr="00CA2F07">
                <w:rPr>
                  <w:rFonts w:eastAsia="Calibri"/>
                  <w:color w:val="0000FF"/>
                  <w:sz w:val="20"/>
                  <w:szCs w:val="20"/>
                  <w:u w:val="single"/>
                  <w:lang w:val="en-US"/>
                </w:rPr>
                <w:t>edu</w:t>
              </w:r>
              <w:r w:rsidRPr="00CA2F07">
                <w:rPr>
                  <w:rFonts w:eastAsia="Calibri"/>
                  <w:color w:val="0000FF"/>
                  <w:sz w:val="20"/>
                  <w:szCs w:val="20"/>
                  <w:u w:val="single"/>
                </w:rPr>
                <w:t>.</w:t>
              </w:r>
              <w:r w:rsidRPr="00CA2F07">
                <w:rPr>
                  <w:rFonts w:eastAsia="Calibri"/>
                  <w:color w:val="0000FF"/>
                  <w:sz w:val="20"/>
                  <w:szCs w:val="20"/>
                  <w:u w:val="single"/>
                  <w:lang w:val="en-US"/>
                </w:rPr>
                <w:t>ua</w:t>
              </w:r>
            </w:hyperlink>
          </w:p>
        </w:tc>
      </w:tr>
      <w:tr w:rsidR="00CA2F07" w:rsidRPr="00CA2F07" w:rsidTr="0004467E">
        <w:tc>
          <w:tcPr>
            <w:tcW w:w="9322" w:type="dxa"/>
          </w:tcPr>
          <w:p w:rsidR="00CA2F07" w:rsidRPr="00CA2F07" w:rsidRDefault="00CA2F07" w:rsidP="00CA2F07">
            <w:pPr>
              <w:spacing w:after="0" w:line="240" w:lineRule="auto"/>
              <w:jc w:val="both"/>
              <w:rPr>
                <w:rFonts w:eastAsia="Calibri"/>
                <w:sz w:val="20"/>
                <w:szCs w:val="20"/>
              </w:rPr>
            </w:pPr>
            <w:r w:rsidRPr="00CA2F07">
              <w:rPr>
                <w:rFonts w:eastAsia="Calibri"/>
                <w:b/>
                <w:i/>
                <w:sz w:val="20"/>
                <w:szCs w:val="20"/>
              </w:rPr>
              <w:lastRenderedPageBreak/>
              <w:t>Арабаджи Анна Юріївна</w:t>
            </w:r>
            <w:r w:rsidRPr="00CA2F07">
              <w:rPr>
                <w:rFonts w:eastAsia="Calibri"/>
                <w:sz w:val="20"/>
                <w:szCs w:val="20"/>
              </w:rPr>
              <w:t xml:space="preserve"> - старший викладач кафедри фізичного виховання НТУ «Харківський політехнічний інститут», </w:t>
            </w:r>
          </w:p>
          <w:p w:rsidR="00CA2F07" w:rsidRPr="00CA2F07" w:rsidRDefault="00CA2F07" w:rsidP="00CA2F07">
            <w:pPr>
              <w:spacing w:after="0" w:line="240" w:lineRule="auto"/>
              <w:jc w:val="both"/>
              <w:rPr>
                <w:rFonts w:eastAsia="Calibri"/>
                <w:spacing w:val="-6"/>
                <w:sz w:val="20"/>
                <w:szCs w:val="20"/>
              </w:rPr>
            </w:pPr>
            <w:r w:rsidRPr="00CA2F07">
              <w:rPr>
                <w:rFonts w:eastAsia="Calibri"/>
                <w:sz w:val="20"/>
                <w:szCs w:val="20"/>
              </w:rPr>
              <w:t>https://orcid.org/0000-0002-4072-2804.</w:t>
            </w:r>
          </w:p>
          <w:p w:rsidR="00CA2F07" w:rsidRPr="00CA2F07" w:rsidRDefault="00CA2F07" w:rsidP="00CA2F07">
            <w:pPr>
              <w:spacing w:after="0" w:line="240" w:lineRule="auto"/>
              <w:rPr>
                <w:rFonts w:eastAsia="Calibri"/>
                <w:kern w:val="1"/>
                <w:sz w:val="20"/>
                <w:szCs w:val="20"/>
                <w:lang w:bidi="hi-IN"/>
              </w:rPr>
            </w:pPr>
            <w:r w:rsidRPr="00CA2F07">
              <w:rPr>
                <w:rFonts w:eastAsia="Calibri"/>
                <w:sz w:val="20"/>
                <w:szCs w:val="20"/>
              </w:rPr>
              <w:t xml:space="preserve">e-mail: </w:t>
            </w:r>
            <w:hyperlink r:id="rId188" w:history="1">
              <w:r w:rsidRPr="00CA2F07">
                <w:rPr>
                  <w:rFonts w:eastAsia="Calibri"/>
                  <w:color w:val="0000FF"/>
                  <w:sz w:val="20"/>
                  <w:szCs w:val="20"/>
                  <w:u w:val="single"/>
                </w:rPr>
                <w:t>annaarabadzhy20@gmail.com</w:t>
              </w:r>
            </w:hyperlink>
          </w:p>
        </w:tc>
      </w:tr>
      <w:tr w:rsidR="00CA2F07" w:rsidRPr="00CA2F07" w:rsidTr="0004467E">
        <w:tc>
          <w:tcPr>
            <w:tcW w:w="9322" w:type="dxa"/>
          </w:tcPr>
          <w:p w:rsidR="00CA2F07" w:rsidRPr="00CA2F07" w:rsidRDefault="00CA2F07" w:rsidP="00CA2F07">
            <w:pPr>
              <w:spacing w:after="0" w:line="240" w:lineRule="auto"/>
              <w:jc w:val="both"/>
              <w:rPr>
                <w:rFonts w:eastAsia="Calibri"/>
                <w:spacing w:val="-8"/>
                <w:sz w:val="20"/>
                <w:szCs w:val="20"/>
              </w:rPr>
            </w:pPr>
            <w:r w:rsidRPr="00CA2F07">
              <w:rPr>
                <w:rFonts w:eastAsia="Calibri"/>
                <w:b/>
                <w:i/>
                <w:spacing w:val="-8"/>
                <w:sz w:val="20"/>
                <w:szCs w:val="20"/>
              </w:rPr>
              <w:t>Капустіна Тетяна Володимирівна</w:t>
            </w:r>
            <w:r w:rsidRPr="00CA2F07">
              <w:rPr>
                <w:rFonts w:eastAsia="Calibri"/>
                <w:spacing w:val="-8"/>
                <w:sz w:val="20"/>
                <w:szCs w:val="20"/>
              </w:rPr>
              <w:t xml:space="preserve"> - старший викладач кафедри фізичного виховання НТУ «</w:t>
            </w:r>
            <w:r w:rsidRPr="00CA2F07">
              <w:rPr>
                <w:rFonts w:eastAsia="Calibri"/>
                <w:sz w:val="20"/>
                <w:szCs w:val="20"/>
              </w:rPr>
              <w:t>Харківський політехнічний інститут</w:t>
            </w:r>
            <w:r w:rsidRPr="00CA2F07">
              <w:rPr>
                <w:rFonts w:eastAsia="Calibri"/>
                <w:spacing w:val="-8"/>
                <w:sz w:val="20"/>
                <w:szCs w:val="20"/>
              </w:rPr>
              <w:t xml:space="preserve">», </w:t>
            </w:r>
            <w:r w:rsidRPr="00CA2F07">
              <w:rPr>
                <w:rFonts w:eastAsia="Calibri"/>
                <w:sz w:val="20"/>
                <w:szCs w:val="20"/>
              </w:rPr>
              <w:t>https://orcid.org/</w:t>
            </w:r>
            <w:r w:rsidRPr="00CA2F07">
              <w:rPr>
                <w:rFonts w:eastAsia="Calibri"/>
                <w:spacing w:val="-8"/>
                <w:sz w:val="20"/>
                <w:szCs w:val="20"/>
              </w:rPr>
              <w:t>0000-0001-7730-2590.</w:t>
            </w:r>
          </w:p>
          <w:p w:rsidR="00CA2F07" w:rsidRPr="00CA2F07" w:rsidRDefault="00CA2F07" w:rsidP="00CA2F07">
            <w:pPr>
              <w:spacing w:after="0" w:line="240" w:lineRule="auto"/>
              <w:jc w:val="both"/>
              <w:rPr>
                <w:rFonts w:eastAsia="Calibri"/>
                <w:b/>
                <w:i/>
                <w:sz w:val="20"/>
                <w:szCs w:val="20"/>
                <w:lang w:val="en-US"/>
              </w:rPr>
            </w:pPr>
            <w:r w:rsidRPr="00CA2F07">
              <w:rPr>
                <w:rFonts w:eastAsia="Calibri"/>
                <w:sz w:val="20"/>
                <w:szCs w:val="20"/>
                <w:lang w:val="en-US"/>
              </w:rPr>
              <w:t xml:space="preserve">e-mail: </w:t>
            </w:r>
            <w:hyperlink r:id="rId189" w:history="1">
              <w:r w:rsidRPr="00CA2F07">
                <w:rPr>
                  <w:rFonts w:eastAsia="Calibri"/>
                  <w:color w:val="0000FF"/>
                  <w:sz w:val="20"/>
                  <w:szCs w:val="20"/>
                  <w:u w:val="single"/>
                  <w:lang w:val="en-US"/>
                </w:rPr>
                <w:t>tetiana.kapustina@khpi.edu.ua</w:t>
              </w:r>
            </w:hyperlink>
          </w:p>
        </w:tc>
      </w:tr>
    </w:tbl>
    <w:p w:rsidR="00CA2F07" w:rsidRPr="00CA2F07" w:rsidRDefault="00CA2F07" w:rsidP="00CA2F07">
      <w:pPr>
        <w:spacing w:after="0" w:line="240" w:lineRule="auto"/>
        <w:ind w:left="3544"/>
        <w:jc w:val="both"/>
        <w:rPr>
          <w:rFonts w:eastAsia="Calibri"/>
          <w:sz w:val="20"/>
          <w:szCs w:val="20"/>
        </w:rPr>
      </w:pPr>
    </w:p>
    <w:p w:rsidR="00CA2F07" w:rsidRPr="00CA2F07" w:rsidRDefault="00CA2F07" w:rsidP="00CA2F07">
      <w:pPr>
        <w:spacing w:after="0" w:line="240" w:lineRule="auto"/>
        <w:ind w:left="3544"/>
        <w:jc w:val="both"/>
        <w:rPr>
          <w:rFonts w:eastAsia="Calibri"/>
          <w:sz w:val="20"/>
          <w:szCs w:val="20"/>
        </w:rPr>
      </w:pPr>
      <w:r w:rsidRPr="00CA2F07">
        <w:rPr>
          <w:rFonts w:eastAsia="Calibri"/>
          <w:sz w:val="20"/>
          <w:szCs w:val="20"/>
        </w:rPr>
        <w:t>Дата першого надходження статті до видання: 19.03.2026</w:t>
      </w:r>
    </w:p>
    <w:p w:rsidR="00CA2F07" w:rsidRPr="00CA2F07" w:rsidRDefault="00CA2F07" w:rsidP="00CA2F07">
      <w:pPr>
        <w:spacing w:after="0" w:line="240" w:lineRule="auto"/>
        <w:ind w:left="3544"/>
        <w:jc w:val="both"/>
        <w:rPr>
          <w:rFonts w:eastAsia="Calibri"/>
          <w:sz w:val="20"/>
          <w:szCs w:val="20"/>
        </w:rPr>
      </w:pPr>
      <w:r w:rsidRPr="00CA2F07">
        <w:rPr>
          <w:rFonts w:eastAsia="Calibri"/>
          <w:sz w:val="20"/>
          <w:szCs w:val="20"/>
        </w:rPr>
        <w:t>Дата прийняття статті до друку після рецензування: 0</w:t>
      </w:r>
      <w:r w:rsidRPr="00CA2F07">
        <w:rPr>
          <w:rFonts w:eastAsia="Calibri"/>
          <w:sz w:val="20"/>
          <w:szCs w:val="20"/>
          <w:lang w:val="ru-RU"/>
        </w:rPr>
        <w:t>8</w:t>
      </w:r>
      <w:r w:rsidRPr="00CA2F07">
        <w:rPr>
          <w:rFonts w:eastAsia="Calibri"/>
          <w:sz w:val="20"/>
          <w:szCs w:val="20"/>
        </w:rPr>
        <w:t>.04.2026</w:t>
      </w:r>
    </w:p>
    <w:p w:rsidR="00CA2F07" w:rsidRDefault="00CA2F07" w:rsidP="00CA2F07">
      <w:pPr>
        <w:spacing w:after="0" w:line="240" w:lineRule="auto"/>
        <w:ind w:left="3544"/>
        <w:jc w:val="both"/>
        <w:rPr>
          <w:rFonts w:eastAsia="Calibri"/>
          <w:sz w:val="20"/>
          <w:szCs w:val="20"/>
        </w:rPr>
      </w:pPr>
      <w:r w:rsidRPr="00CA2F07">
        <w:rPr>
          <w:rFonts w:eastAsia="Calibri"/>
          <w:sz w:val="20"/>
          <w:szCs w:val="20"/>
        </w:rPr>
        <w:t xml:space="preserve">Дата публікації (оприлюднення) статті: </w:t>
      </w:r>
      <w:r w:rsidRPr="00CA2F07">
        <w:rPr>
          <w:rFonts w:eastAsia="Calibri"/>
          <w:sz w:val="20"/>
          <w:szCs w:val="20"/>
          <w:lang w:val="en-US"/>
        </w:rPr>
        <w:t>20</w:t>
      </w:r>
      <w:r w:rsidRPr="00CA2F07">
        <w:rPr>
          <w:rFonts w:eastAsia="Calibri"/>
          <w:sz w:val="20"/>
          <w:szCs w:val="20"/>
        </w:rPr>
        <w:t>.0</w:t>
      </w:r>
      <w:r w:rsidRPr="00CA2F07">
        <w:rPr>
          <w:rFonts w:eastAsia="Calibri"/>
          <w:sz w:val="20"/>
          <w:szCs w:val="20"/>
          <w:lang w:val="en-US"/>
        </w:rPr>
        <w:t>5</w:t>
      </w:r>
      <w:r w:rsidRPr="00CA2F07">
        <w:rPr>
          <w:rFonts w:eastAsia="Calibri"/>
          <w:sz w:val="20"/>
          <w:szCs w:val="20"/>
        </w:rPr>
        <w:t>.2026</w:t>
      </w:r>
    </w:p>
    <w:p w:rsidR="005875A4" w:rsidRDefault="005875A4">
      <w:pPr>
        <w:spacing w:after="160" w:line="259" w:lineRule="auto"/>
        <w:rPr>
          <w:rFonts w:eastAsia="Calibri"/>
          <w:sz w:val="20"/>
          <w:szCs w:val="20"/>
        </w:rPr>
      </w:pPr>
      <w:r>
        <w:rPr>
          <w:rFonts w:eastAsia="Calibri"/>
          <w:sz w:val="20"/>
          <w:szCs w:val="20"/>
        </w:rPr>
        <w:br w:type="page"/>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8D67ED" w:rsidRPr="008D67ED" w:rsidTr="00C07F42">
        <w:tc>
          <w:tcPr>
            <w:tcW w:w="3785" w:type="dxa"/>
          </w:tcPr>
          <w:p w:rsidR="008D67ED" w:rsidRPr="008D67ED" w:rsidRDefault="008D67ED" w:rsidP="008D67ED">
            <w:pPr>
              <w:spacing w:after="0" w:line="240" w:lineRule="auto"/>
              <w:rPr>
                <w:b/>
                <w:sz w:val="20"/>
                <w:szCs w:val="20"/>
                <w:lang w:eastAsia="uk-UA"/>
              </w:rPr>
            </w:pPr>
            <w:r w:rsidRPr="008D67ED">
              <w:rPr>
                <w:b/>
                <w:sz w:val="20"/>
                <w:szCs w:val="20"/>
                <w:lang w:eastAsia="uk-UA"/>
              </w:rPr>
              <w:lastRenderedPageBreak/>
              <w:t>УДК 712.253:796.011.3-057.87:613(438)</w:t>
            </w:r>
          </w:p>
          <w:p w:rsidR="008D67ED" w:rsidRPr="008D67ED" w:rsidRDefault="008D67ED" w:rsidP="008D67ED">
            <w:pPr>
              <w:spacing w:after="0" w:line="240" w:lineRule="auto"/>
              <w:rPr>
                <w:b/>
                <w:sz w:val="20"/>
                <w:szCs w:val="20"/>
                <w:lang w:eastAsia="uk-UA"/>
              </w:rPr>
            </w:pPr>
            <w:r w:rsidRPr="008D67ED">
              <w:rPr>
                <w:b/>
                <w:sz w:val="20"/>
                <w:szCs w:val="20"/>
                <w:lang w:eastAsia="uk-UA"/>
              </w:rPr>
              <w:t xml:space="preserve">doi: </w:t>
            </w:r>
            <w:r w:rsidRPr="008D67ED">
              <w:rPr>
                <w:rFonts w:eastAsia="SimSun"/>
                <w:b/>
                <w:kern w:val="1"/>
                <w:sz w:val="20"/>
                <w:szCs w:val="20"/>
                <w:lang w:eastAsia="zh-CN" w:bidi="hi-IN"/>
              </w:rPr>
              <w:t>10.15330/fcult.61-68</w:t>
            </w:r>
          </w:p>
        </w:tc>
        <w:tc>
          <w:tcPr>
            <w:tcW w:w="5501" w:type="dxa"/>
          </w:tcPr>
          <w:p w:rsidR="008D67ED" w:rsidRPr="008D67ED" w:rsidRDefault="008D67ED" w:rsidP="008D67ED">
            <w:pPr>
              <w:spacing w:after="0" w:line="240" w:lineRule="auto"/>
              <w:jc w:val="right"/>
              <w:rPr>
                <w:b/>
                <w:i/>
                <w:sz w:val="20"/>
                <w:szCs w:val="20"/>
                <w:lang w:eastAsia="uk-UA"/>
              </w:rPr>
            </w:pPr>
            <w:r w:rsidRPr="008D67ED">
              <w:rPr>
                <w:b/>
                <w:bCs/>
                <w:i/>
                <w:iCs/>
                <w:sz w:val="20"/>
                <w:szCs w:val="20"/>
              </w:rPr>
              <w:t>Larysa Slyvka</w:t>
            </w:r>
          </w:p>
        </w:tc>
      </w:tr>
    </w:tbl>
    <w:p w:rsidR="008D67ED" w:rsidRPr="008D67ED" w:rsidRDefault="008D67ED" w:rsidP="008D67ED">
      <w:pPr>
        <w:spacing w:after="0" w:line="240" w:lineRule="auto"/>
        <w:rPr>
          <w:rFonts w:eastAsia="Calibri"/>
          <w:b/>
          <w:sz w:val="24"/>
          <w:szCs w:val="24"/>
        </w:rPr>
      </w:pPr>
    </w:p>
    <w:p w:rsidR="008D67ED" w:rsidRPr="008D67ED" w:rsidRDefault="008D67ED" w:rsidP="008D67ED">
      <w:pPr>
        <w:spacing w:after="0" w:line="240" w:lineRule="auto"/>
        <w:jc w:val="center"/>
        <w:rPr>
          <w:rFonts w:eastAsia="Calibri"/>
          <w:b/>
          <w:sz w:val="24"/>
          <w:szCs w:val="24"/>
        </w:rPr>
      </w:pPr>
      <w:r w:rsidRPr="008D67ED">
        <w:rPr>
          <w:rFonts w:eastAsia="Calibri"/>
          <w:b/>
          <w:sz w:val="24"/>
          <w:szCs w:val="24"/>
        </w:rPr>
        <w:t>HENRYK JORDAN PARK IN KRAKOW</w:t>
      </w:r>
    </w:p>
    <w:p w:rsidR="008D67ED" w:rsidRPr="008D67ED" w:rsidRDefault="008D67ED" w:rsidP="008D67ED">
      <w:pPr>
        <w:spacing w:after="0" w:line="240" w:lineRule="auto"/>
        <w:jc w:val="center"/>
        <w:rPr>
          <w:rFonts w:eastAsia="Calibri"/>
          <w:b/>
          <w:sz w:val="24"/>
          <w:szCs w:val="24"/>
        </w:rPr>
      </w:pPr>
      <w:r w:rsidRPr="008D67ED">
        <w:rPr>
          <w:rFonts w:eastAsia="Calibri"/>
          <w:b/>
          <w:sz w:val="24"/>
          <w:szCs w:val="24"/>
        </w:rPr>
        <w:t>AS A CENTER FOR OUT-OF-SCHOOL PHYSICAL EDUCATION OF CHILDREN AND YOUTH AT THE END OF THE 19</w:t>
      </w:r>
      <w:r w:rsidR="00577D33" w:rsidRPr="00577D33">
        <w:rPr>
          <w:rFonts w:eastAsia="Calibri"/>
          <w:b/>
          <w:sz w:val="24"/>
          <w:szCs w:val="24"/>
          <w:vertAlign w:val="superscript"/>
        </w:rPr>
        <w:t>th</w:t>
      </w:r>
      <w:r w:rsidRPr="008D67ED">
        <w:rPr>
          <w:rFonts w:eastAsia="Calibri"/>
          <w:b/>
          <w:sz w:val="24"/>
          <w:szCs w:val="24"/>
        </w:rPr>
        <w:t xml:space="preserve"> ‒ EARLY 20</w:t>
      </w:r>
      <w:r w:rsidR="00577D33" w:rsidRPr="00577D33">
        <w:rPr>
          <w:rFonts w:eastAsia="Calibri"/>
          <w:b/>
          <w:sz w:val="24"/>
          <w:szCs w:val="24"/>
          <w:vertAlign w:val="superscript"/>
        </w:rPr>
        <w:t>th</w:t>
      </w:r>
      <w:r w:rsidRPr="008D67ED">
        <w:rPr>
          <w:rFonts w:eastAsia="Calibri"/>
          <w:b/>
          <w:sz w:val="24"/>
          <w:szCs w:val="24"/>
        </w:rPr>
        <w:t xml:space="preserve"> CENTURIES</w:t>
      </w:r>
    </w:p>
    <w:p w:rsidR="008D67ED" w:rsidRPr="008D67ED" w:rsidRDefault="008D67ED" w:rsidP="008D67ED">
      <w:pPr>
        <w:spacing w:after="0" w:line="240" w:lineRule="auto"/>
        <w:jc w:val="center"/>
        <w:rPr>
          <w:rFonts w:eastAsia="Calibri"/>
          <w:b/>
          <w:sz w:val="24"/>
          <w:szCs w:val="24"/>
          <w:lang w:val="en-US"/>
        </w:rPr>
      </w:pPr>
    </w:p>
    <w:p w:rsidR="008D67ED" w:rsidRPr="008D67ED" w:rsidRDefault="008D67ED" w:rsidP="008D67ED">
      <w:pPr>
        <w:spacing w:after="0" w:line="240" w:lineRule="auto"/>
        <w:ind w:firstLine="709"/>
        <w:jc w:val="both"/>
        <w:rPr>
          <w:rFonts w:eastAsia="Calibri"/>
          <w:sz w:val="20"/>
          <w:szCs w:val="20"/>
          <w:shd w:val="clear" w:color="auto" w:fill="FFFFFF"/>
          <w:lang w:val="en-US"/>
        </w:rPr>
      </w:pPr>
      <w:r w:rsidRPr="008D67ED">
        <w:rPr>
          <w:rFonts w:eastAsia="Calibri"/>
          <w:b/>
          <w:i/>
          <w:sz w:val="20"/>
          <w:szCs w:val="20"/>
          <w:lang w:val="en-US"/>
        </w:rPr>
        <w:t>Summary</w:t>
      </w:r>
      <w:r w:rsidRPr="008D67ED">
        <w:rPr>
          <w:rFonts w:eastAsia="Calibri"/>
          <w:i/>
          <w:sz w:val="20"/>
          <w:szCs w:val="20"/>
        </w:rPr>
        <w:t xml:space="preserve">. </w:t>
      </w:r>
      <w:r w:rsidRPr="008D67ED">
        <w:rPr>
          <w:rFonts w:eastAsia="Calibri"/>
          <w:b/>
          <w:i/>
          <w:sz w:val="20"/>
          <w:szCs w:val="20"/>
        </w:rPr>
        <w:t>Purpose</w:t>
      </w:r>
      <w:r w:rsidRPr="008D67ED">
        <w:rPr>
          <w:rFonts w:eastAsia="Calibri"/>
          <w:sz w:val="20"/>
          <w:szCs w:val="20"/>
        </w:rPr>
        <w:t xml:space="preserve">. to analyze the features of the implementation of physical education of children and youth in the Henryk Jordan Park in Krakow in the late 19th and early 20th centuries. </w:t>
      </w:r>
      <w:r w:rsidRPr="008D67ED">
        <w:rPr>
          <w:rFonts w:eastAsia="Calibri"/>
          <w:b/>
          <w:i/>
          <w:sz w:val="20"/>
          <w:szCs w:val="20"/>
        </w:rPr>
        <w:t>Material and research methods</w:t>
      </w:r>
      <w:r w:rsidRPr="008D67ED">
        <w:rPr>
          <w:rFonts w:eastAsia="Calibri"/>
          <w:sz w:val="20"/>
          <w:szCs w:val="20"/>
        </w:rPr>
        <w:t xml:space="preserve">. the following research methods were used: search-bibliographic; personal-biographical; chronological; comparative. </w:t>
      </w:r>
      <w:r w:rsidRPr="008D67ED">
        <w:rPr>
          <w:rFonts w:eastAsia="TimesNewRomanPSMT"/>
          <w:b/>
          <w:i/>
          <w:sz w:val="20"/>
          <w:szCs w:val="20"/>
        </w:rPr>
        <w:t>Results</w:t>
      </w:r>
      <w:r w:rsidRPr="008D67ED">
        <w:rPr>
          <w:rFonts w:eastAsia="TimesNewRomanPSMT"/>
          <w:sz w:val="20"/>
          <w:szCs w:val="20"/>
        </w:rPr>
        <w:t xml:space="preserve">. </w:t>
      </w:r>
      <w:r w:rsidRPr="008D67ED">
        <w:rPr>
          <w:rFonts w:eastAsia="Calibri"/>
          <w:sz w:val="20"/>
          <w:szCs w:val="20"/>
        </w:rPr>
        <w:t xml:space="preserve">The main aspects of the scientific, educational and public activities of the scientist and teacher are characterized. The content and methodological principles of the implementation of his most famous and longest running project, «Dr. Jordan’s City Park», are outlined, in particular: the names of the park’s locations are listed; one of the «highest tasks of life», according to </w:t>
      </w:r>
      <w:r w:rsidRPr="008D67ED">
        <w:rPr>
          <w:rFonts w:eastAsia="Calibri"/>
          <w:sz w:val="20"/>
          <w:szCs w:val="20"/>
          <w:lang w:val="en-US"/>
        </w:rPr>
        <w:t>H. J</w:t>
      </w:r>
      <w:r w:rsidRPr="008D67ED">
        <w:rPr>
          <w:rFonts w:eastAsia="Calibri"/>
          <w:sz w:val="20"/>
          <w:szCs w:val="20"/>
        </w:rPr>
        <w:t xml:space="preserve">ordan ‒ patriotism, is actualized; </w:t>
      </w:r>
      <w:r w:rsidRPr="008D67ED">
        <w:rPr>
          <w:rFonts w:eastAsia="Calibri"/>
          <w:sz w:val="20"/>
          <w:szCs w:val="20"/>
          <w:lang w:val="en-US"/>
        </w:rPr>
        <w:t>t</w:t>
      </w:r>
      <w:r w:rsidRPr="008D67ED">
        <w:rPr>
          <w:rFonts w:eastAsia="Calibri"/>
          <w:sz w:val="20"/>
          <w:szCs w:val="20"/>
        </w:rPr>
        <w:t>he personnel aspect of the project implementation was announced</w:t>
      </w:r>
      <w:r w:rsidRPr="008D67ED">
        <w:rPr>
          <w:rFonts w:eastAsia="Calibri"/>
          <w:sz w:val="20"/>
          <w:szCs w:val="20"/>
          <w:lang w:val="en-US"/>
        </w:rPr>
        <w:t xml:space="preserve">; </w:t>
      </w:r>
      <w:r w:rsidRPr="008D67ED">
        <w:rPr>
          <w:rFonts w:eastAsia="Calibri"/>
          <w:sz w:val="20"/>
          <w:szCs w:val="20"/>
        </w:rPr>
        <w:t>the didactic concept was updated</w:t>
      </w:r>
      <w:r w:rsidRPr="008D67ED">
        <w:rPr>
          <w:rFonts w:eastAsia="Calibri"/>
          <w:sz w:val="20"/>
          <w:szCs w:val="20"/>
          <w:lang w:val="en-US"/>
        </w:rPr>
        <w:t xml:space="preserve">. </w:t>
      </w:r>
      <w:r w:rsidRPr="008D67ED">
        <w:rPr>
          <w:rFonts w:eastAsia="Calibri"/>
          <w:sz w:val="20"/>
          <w:szCs w:val="20"/>
        </w:rPr>
        <w:t xml:space="preserve">Thematic profiles are presented, which express the comparison of the content presented in the article with the challenges that the domestic school in general and the physical education teacher in particular face today. </w:t>
      </w:r>
      <w:r w:rsidRPr="008D67ED">
        <w:rPr>
          <w:rFonts w:eastAsia="Calibri"/>
          <w:b/>
          <w:i/>
          <w:sz w:val="20"/>
          <w:szCs w:val="20"/>
          <w:shd w:val="clear" w:color="auto" w:fill="FFFFFF"/>
        </w:rPr>
        <w:t>Conclusions</w:t>
      </w:r>
      <w:r w:rsidRPr="008D67ED">
        <w:rPr>
          <w:rFonts w:eastAsia="Calibri"/>
          <w:sz w:val="20"/>
          <w:szCs w:val="20"/>
          <w:shd w:val="clear" w:color="auto" w:fill="FFFFFF"/>
        </w:rPr>
        <w:t xml:space="preserve">. the contribution of </w:t>
      </w:r>
      <w:r w:rsidRPr="008D67ED">
        <w:rPr>
          <w:rFonts w:eastAsia="Calibri"/>
          <w:sz w:val="20"/>
          <w:szCs w:val="20"/>
          <w:shd w:val="clear" w:color="auto" w:fill="FFFFFF"/>
          <w:lang w:val="en-US"/>
        </w:rPr>
        <w:t>H. </w:t>
      </w:r>
      <w:r w:rsidRPr="008D67ED">
        <w:rPr>
          <w:rFonts w:eastAsia="Calibri"/>
          <w:sz w:val="20"/>
          <w:szCs w:val="20"/>
          <w:shd w:val="clear" w:color="auto" w:fill="FFFFFF"/>
        </w:rPr>
        <w:t>Jordan to the development of physical education practice is summarized</w:t>
      </w:r>
      <w:r w:rsidRPr="008D67ED">
        <w:rPr>
          <w:rFonts w:eastAsia="Calibri"/>
          <w:sz w:val="20"/>
          <w:szCs w:val="20"/>
          <w:shd w:val="clear" w:color="auto" w:fill="FFFFFF"/>
          <w:lang w:val="en-US"/>
        </w:rPr>
        <w:t>.</w:t>
      </w:r>
    </w:p>
    <w:p w:rsidR="008D67ED" w:rsidRPr="008D67ED" w:rsidRDefault="008D67ED" w:rsidP="008D67ED">
      <w:pPr>
        <w:spacing w:after="0" w:line="240" w:lineRule="auto"/>
        <w:ind w:firstLine="709"/>
        <w:jc w:val="both"/>
        <w:rPr>
          <w:rFonts w:eastAsia="Calibri"/>
          <w:sz w:val="20"/>
          <w:szCs w:val="20"/>
          <w:lang w:val="en-US"/>
        </w:rPr>
      </w:pPr>
      <w:r w:rsidRPr="008D67ED">
        <w:rPr>
          <w:rFonts w:eastAsia="Calibri"/>
          <w:b/>
          <w:i/>
          <w:sz w:val="20"/>
          <w:szCs w:val="20"/>
          <w:lang w:val="en-US"/>
        </w:rPr>
        <w:t>Keywords</w:t>
      </w:r>
      <w:r w:rsidRPr="008D67ED">
        <w:rPr>
          <w:rFonts w:eastAsia="Calibri"/>
          <w:sz w:val="20"/>
          <w:szCs w:val="20"/>
        </w:rPr>
        <w:t>: Henryk Jordan, children and youth, Jordan parks, health improvement, after</w:t>
      </w:r>
      <w:r w:rsidRPr="008D67ED">
        <w:rPr>
          <w:rFonts w:eastAsia="Calibri"/>
          <w:sz w:val="20"/>
          <w:szCs w:val="20"/>
          <w:lang w:val="en-US"/>
        </w:rPr>
        <w:t>-</w:t>
      </w:r>
      <w:r w:rsidRPr="008D67ED">
        <w:rPr>
          <w:rFonts w:eastAsia="Calibri"/>
          <w:sz w:val="20"/>
          <w:szCs w:val="20"/>
        </w:rPr>
        <w:t>school education, Poland, recreation, physical education.</w:t>
      </w:r>
    </w:p>
    <w:p w:rsidR="008D67ED" w:rsidRPr="008D67ED" w:rsidRDefault="008D67ED" w:rsidP="008D67ED">
      <w:pPr>
        <w:spacing w:after="0" w:line="240" w:lineRule="auto"/>
        <w:ind w:firstLine="709"/>
        <w:jc w:val="both"/>
        <w:rPr>
          <w:rFonts w:eastAsia="Calibri"/>
          <w:b/>
          <w:i/>
          <w:sz w:val="20"/>
          <w:szCs w:val="20"/>
          <w:highlight w:val="yellow"/>
        </w:rPr>
      </w:pPr>
    </w:p>
    <w:p w:rsidR="008D67ED" w:rsidRPr="008D67ED" w:rsidRDefault="008D67ED" w:rsidP="008D67ED">
      <w:pPr>
        <w:spacing w:after="0" w:line="240" w:lineRule="auto"/>
        <w:ind w:firstLine="709"/>
        <w:jc w:val="both"/>
        <w:rPr>
          <w:rFonts w:eastAsia="Calibri"/>
          <w:sz w:val="20"/>
          <w:szCs w:val="20"/>
        </w:rPr>
      </w:pPr>
      <w:r w:rsidRPr="008D67ED">
        <w:rPr>
          <w:rFonts w:eastAsia="Calibri"/>
          <w:b/>
          <w:i/>
          <w:sz w:val="20"/>
          <w:szCs w:val="20"/>
        </w:rPr>
        <w:t>Резюме.</w:t>
      </w:r>
      <w:r w:rsidRPr="008D67ED">
        <w:rPr>
          <w:rFonts w:eastAsia="Calibri"/>
          <w:i/>
          <w:sz w:val="20"/>
          <w:szCs w:val="20"/>
        </w:rPr>
        <w:t xml:space="preserve"> </w:t>
      </w:r>
      <w:r w:rsidRPr="008D67ED">
        <w:rPr>
          <w:rFonts w:eastAsia="Calibri"/>
          <w:b/>
          <w:i/>
          <w:sz w:val="20"/>
          <w:szCs w:val="20"/>
          <w:shd w:val="clear" w:color="auto" w:fill="FFFFFF"/>
        </w:rPr>
        <w:t>Мета</w:t>
      </w:r>
      <w:r w:rsidRPr="008D67ED">
        <w:rPr>
          <w:rFonts w:eastAsia="Calibri"/>
          <w:sz w:val="20"/>
          <w:szCs w:val="20"/>
          <w:shd w:val="clear" w:color="auto" w:fill="FFFFFF"/>
        </w:rPr>
        <w:t xml:space="preserve">: </w:t>
      </w:r>
      <w:r w:rsidRPr="008D67ED">
        <w:rPr>
          <w:rFonts w:eastAsia="Calibri"/>
          <w:sz w:val="20"/>
          <w:szCs w:val="20"/>
        </w:rPr>
        <w:t xml:space="preserve">проаналізувати особливості реалізації фізичного виховання дітей та юнацтва у парку імені Генрика Йордана в Кракові наприкінці ХІХ ‒ на початку ХХ ст. </w:t>
      </w:r>
      <w:r w:rsidRPr="008D67ED">
        <w:rPr>
          <w:rFonts w:eastAsia="Calibri"/>
          <w:b/>
          <w:i/>
          <w:sz w:val="20"/>
          <w:szCs w:val="20"/>
          <w:shd w:val="clear" w:color="auto" w:fill="FFFFFF"/>
        </w:rPr>
        <w:t>Матеріал і методи дослідження</w:t>
      </w:r>
      <w:r w:rsidRPr="008D67ED">
        <w:rPr>
          <w:rFonts w:eastAsia="Calibri"/>
          <w:sz w:val="20"/>
          <w:szCs w:val="20"/>
          <w:shd w:val="clear" w:color="auto" w:fill="FFFFFF"/>
        </w:rPr>
        <w:t xml:space="preserve">: використано такі дослідницькі методи: </w:t>
      </w:r>
      <w:r w:rsidRPr="008D67ED">
        <w:rPr>
          <w:rFonts w:eastAsia="Calibri"/>
          <w:iCs/>
          <w:sz w:val="20"/>
          <w:szCs w:val="20"/>
        </w:rPr>
        <w:t xml:space="preserve">пошуково-бібліографічний; персоналістично-біографічний; </w:t>
      </w:r>
      <w:r w:rsidRPr="008D67ED">
        <w:rPr>
          <w:rFonts w:eastAsia="Calibri"/>
          <w:sz w:val="20"/>
          <w:szCs w:val="20"/>
        </w:rPr>
        <w:t xml:space="preserve">хронологічний; порівняльно-зіставний. </w:t>
      </w:r>
      <w:r w:rsidRPr="008D67ED">
        <w:rPr>
          <w:rFonts w:eastAsia="Calibri"/>
          <w:b/>
          <w:i/>
          <w:sz w:val="20"/>
          <w:szCs w:val="20"/>
          <w:shd w:val="clear" w:color="auto" w:fill="FFFFFF"/>
        </w:rPr>
        <w:t>Результати</w:t>
      </w:r>
      <w:r w:rsidRPr="008D67ED">
        <w:rPr>
          <w:rFonts w:eastAsia="Calibri"/>
          <w:sz w:val="20"/>
          <w:szCs w:val="20"/>
          <w:shd w:val="clear" w:color="auto" w:fill="FFFFFF"/>
        </w:rPr>
        <w:t xml:space="preserve">. Стисло анонсовано витоки </w:t>
      </w:r>
      <w:r w:rsidRPr="008D67ED">
        <w:rPr>
          <w:rFonts w:eastAsia="Calibri"/>
          <w:color w:val="000000"/>
          <w:sz w:val="20"/>
          <w:szCs w:val="20"/>
        </w:rPr>
        <w:t xml:space="preserve">реформування польської освіти у вимірі розв’язання проблеми збереження </w:t>
      </w:r>
      <w:r w:rsidRPr="008D67ED">
        <w:rPr>
          <w:rFonts w:eastAsia="Calibri"/>
          <w:sz w:val="20"/>
          <w:szCs w:val="20"/>
        </w:rPr>
        <w:t>здоров’я дітей та юнацтва (</w:t>
      </w:r>
      <w:r w:rsidRPr="008D67ED">
        <w:rPr>
          <w:rFonts w:eastAsia="Calibri"/>
          <w:color w:val="000000"/>
          <w:sz w:val="20"/>
          <w:szCs w:val="20"/>
        </w:rPr>
        <w:t>період діяльності</w:t>
      </w:r>
      <w:r w:rsidRPr="008D67ED">
        <w:rPr>
          <w:rFonts w:eastAsia="TimesNewRomanPSMT"/>
          <w:sz w:val="20"/>
          <w:szCs w:val="20"/>
        </w:rPr>
        <w:t xml:space="preserve"> </w:t>
      </w:r>
      <w:r w:rsidRPr="008D67ED">
        <w:rPr>
          <w:rFonts w:eastAsia="Calibri"/>
          <w:color w:val="000000"/>
          <w:sz w:val="20"/>
          <w:szCs w:val="20"/>
        </w:rPr>
        <w:t>першого у Європі освітнього міністерства</w:t>
      </w:r>
      <w:r w:rsidRPr="008D67ED">
        <w:rPr>
          <w:rFonts w:eastAsia="TimesNewRomanPSMT"/>
          <w:sz w:val="20"/>
          <w:szCs w:val="20"/>
        </w:rPr>
        <w:t xml:space="preserve"> ‒ Комісії Національної Едукації</w:t>
      </w:r>
      <w:r w:rsidRPr="008D67ED">
        <w:rPr>
          <w:rFonts w:eastAsia="Calibri"/>
          <w:color w:val="000000"/>
          <w:sz w:val="20"/>
          <w:szCs w:val="20"/>
        </w:rPr>
        <w:t xml:space="preserve">. Представлено </w:t>
      </w:r>
      <w:r w:rsidRPr="008D67ED">
        <w:rPr>
          <w:rFonts w:eastAsia="Calibri"/>
          <w:sz w:val="20"/>
          <w:szCs w:val="20"/>
        </w:rPr>
        <w:t>окремі віхи біографії Генрика Йордана. Схарактеризовано основні аспекти наукової, освітньої і громадської діяльності вченого і педагога. Окреслено зміст і методичні засади реалізації його найвідомішого і найтривалішого проєкту «Міський парк доктора Йордана», зокрема: розкрито суть ідеї; перелічено назви локацій парку; актуалізовано одне з «вищих завдань життя», за Г. Йорданом ‒ патріотизм; анонсовано кадровий аспект реалізації проєкту ‒ організовані для вчителів народних шкіл, діячів товариства «Сокіл», студентів, лікарів та учнів старших класів гімназій спеціальні навчальні заняття «провідників» ‒ організаторів ігор і забав у Парку</w:t>
      </w:r>
      <w:r w:rsidRPr="008D67ED">
        <w:rPr>
          <w:sz w:val="20"/>
          <w:szCs w:val="20"/>
          <w:lang w:eastAsia="ru-RU"/>
        </w:rPr>
        <w:t xml:space="preserve">; актуалізовано </w:t>
      </w:r>
      <w:r w:rsidRPr="008D67ED">
        <w:rPr>
          <w:rFonts w:eastAsia="Calibri"/>
          <w:sz w:val="20"/>
          <w:szCs w:val="20"/>
        </w:rPr>
        <w:t xml:space="preserve">дидактичну концепцію (сценарії «паркових» занять розроблялися на усі дні тижня і підлаштовувалися до віку і можливостей вихованців, які відвідували ту чи іншу локацію у парку). Представлено тематичні профілі, які увиразнюють співставлення змісту викладеного у статті з тими викликами, з якими стикаються сьогодні вітчизняна школа загалом і учитель фізичної культури зокрема. Повідомлено про авторський досвід формування у майбутніх учителів умінь організовувати рухову діяльність учнів. </w:t>
      </w:r>
      <w:r w:rsidRPr="008D67ED">
        <w:rPr>
          <w:rFonts w:eastAsia="Calibri"/>
          <w:b/>
          <w:i/>
          <w:sz w:val="20"/>
          <w:szCs w:val="20"/>
          <w:shd w:val="clear" w:color="auto" w:fill="FFFFFF"/>
        </w:rPr>
        <w:t>Висновки</w:t>
      </w:r>
      <w:r w:rsidRPr="008D67ED">
        <w:rPr>
          <w:rFonts w:eastAsia="Calibri"/>
          <w:sz w:val="20"/>
          <w:szCs w:val="20"/>
          <w:shd w:val="clear" w:color="auto" w:fill="FFFFFF"/>
        </w:rPr>
        <w:t xml:space="preserve">: узагальнено </w:t>
      </w:r>
      <w:r w:rsidRPr="008D67ED">
        <w:rPr>
          <w:rFonts w:eastAsia="Calibri"/>
          <w:sz w:val="20"/>
          <w:szCs w:val="20"/>
        </w:rPr>
        <w:t>внесок</w:t>
      </w:r>
      <w:r w:rsidRPr="008D67ED">
        <w:rPr>
          <w:rFonts w:eastAsia="Calibri"/>
          <w:iCs/>
          <w:sz w:val="20"/>
          <w:szCs w:val="20"/>
        </w:rPr>
        <w:t xml:space="preserve"> Г. Йордана</w:t>
      </w:r>
      <w:r w:rsidRPr="008D67ED">
        <w:rPr>
          <w:rFonts w:eastAsia="Calibri"/>
          <w:sz w:val="20"/>
          <w:szCs w:val="20"/>
        </w:rPr>
        <w:t xml:space="preserve"> в розвиток практики фізичного виховання, відзначено, що він був</w:t>
      </w:r>
      <w:r w:rsidRPr="008D67ED">
        <w:rPr>
          <w:rFonts w:eastAsia="Calibri"/>
          <w:sz w:val="20"/>
          <w:szCs w:val="20"/>
          <w:shd w:val="clear" w:color="auto" w:fill="FFFFFF"/>
        </w:rPr>
        <w:t xml:space="preserve"> одним із перших у Європі і першим у Польщі, хто</w:t>
      </w:r>
      <w:r w:rsidRPr="008D67ED">
        <w:rPr>
          <w:rFonts w:eastAsia="Calibri"/>
          <w:sz w:val="20"/>
          <w:szCs w:val="20"/>
        </w:rPr>
        <w:t xml:space="preserve"> </w:t>
      </w:r>
      <w:r w:rsidRPr="008D67ED">
        <w:rPr>
          <w:rFonts w:eastAsia="Calibri"/>
          <w:bCs/>
          <w:sz w:val="20"/>
          <w:szCs w:val="20"/>
        </w:rPr>
        <w:t>вивів фізичне виховання</w:t>
      </w:r>
      <w:r w:rsidRPr="008D67ED">
        <w:rPr>
          <w:rFonts w:eastAsia="Calibri"/>
          <w:sz w:val="20"/>
          <w:szCs w:val="20"/>
          <w:shd w:val="clear" w:color="auto" w:fill="FFFFFF"/>
        </w:rPr>
        <w:t xml:space="preserve"> із гімнастичних залів на лоно природи, на свіже повітря та сонце.</w:t>
      </w:r>
    </w:p>
    <w:p w:rsidR="008D67ED" w:rsidRPr="008D67ED" w:rsidRDefault="008D67ED" w:rsidP="008D67ED">
      <w:pPr>
        <w:spacing w:after="0" w:line="240" w:lineRule="auto"/>
        <w:ind w:firstLine="709"/>
        <w:jc w:val="both"/>
        <w:rPr>
          <w:rFonts w:eastAsia="Calibri"/>
          <w:sz w:val="20"/>
          <w:szCs w:val="20"/>
        </w:rPr>
      </w:pPr>
      <w:r w:rsidRPr="008D67ED">
        <w:rPr>
          <w:rFonts w:eastAsia="Calibri"/>
          <w:b/>
          <w:i/>
          <w:sz w:val="20"/>
          <w:szCs w:val="20"/>
        </w:rPr>
        <w:t>Ключові слова</w:t>
      </w:r>
      <w:r w:rsidRPr="008D67ED">
        <w:rPr>
          <w:rFonts w:eastAsia="Calibri"/>
          <w:sz w:val="20"/>
          <w:szCs w:val="20"/>
        </w:rPr>
        <w:t>: Генрик Йордан, діти та юнацтво, йорданівські парки, оздоровлення, позашкільне виховання, Польща, рекреація, фізичне виховання.</w:t>
      </w:r>
    </w:p>
    <w:p w:rsidR="008D67ED" w:rsidRPr="008D67ED" w:rsidRDefault="008D67ED" w:rsidP="008D67ED">
      <w:pPr>
        <w:spacing w:after="0" w:line="240" w:lineRule="auto"/>
        <w:jc w:val="both"/>
        <w:rPr>
          <w:rFonts w:eastAsia="Calibri"/>
          <w:sz w:val="24"/>
          <w:szCs w:val="24"/>
        </w:rPr>
      </w:pPr>
    </w:p>
    <w:p w:rsidR="008D67ED" w:rsidRPr="008D67ED" w:rsidRDefault="008D67ED" w:rsidP="008D67ED">
      <w:pPr>
        <w:spacing w:after="0" w:line="240" w:lineRule="auto"/>
        <w:jc w:val="both"/>
        <w:rPr>
          <w:rFonts w:eastAsia="Calibri"/>
          <w:sz w:val="24"/>
          <w:szCs w:val="24"/>
        </w:rPr>
      </w:pPr>
    </w:p>
    <w:p w:rsidR="008D67ED" w:rsidRPr="008D67ED" w:rsidRDefault="008D67ED" w:rsidP="008D67ED">
      <w:pPr>
        <w:spacing w:after="0" w:line="240" w:lineRule="auto"/>
        <w:ind w:firstLine="709"/>
        <w:jc w:val="both"/>
        <w:rPr>
          <w:rFonts w:eastAsia="Calibri"/>
          <w:sz w:val="24"/>
          <w:szCs w:val="24"/>
        </w:rPr>
      </w:pPr>
      <w:r w:rsidRPr="008D67ED">
        <w:rPr>
          <w:rFonts w:eastAsia="Calibri"/>
          <w:b/>
          <w:sz w:val="24"/>
          <w:szCs w:val="24"/>
          <w:shd w:val="clear" w:color="auto" w:fill="FFFFFF"/>
        </w:rPr>
        <w:t>Problem statement and analysis of recent research results.</w:t>
      </w:r>
      <w:r w:rsidRPr="008D67ED">
        <w:rPr>
          <w:rFonts w:ascii="Arial" w:eastAsia="Calibri" w:hAnsi="Arial" w:cs="Arial"/>
          <w:sz w:val="24"/>
          <w:szCs w:val="24"/>
          <w:shd w:val="clear" w:color="auto" w:fill="FFFFFF"/>
          <w:lang w:val="en-US"/>
        </w:rPr>
        <w:t xml:space="preserve"> </w:t>
      </w:r>
      <w:r w:rsidRPr="008D67ED">
        <w:rPr>
          <w:rFonts w:eastAsia="Calibri"/>
          <w:sz w:val="24"/>
          <w:szCs w:val="24"/>
        </w:rPr>
        <w:t>Systemic reform of education in Ukraine, which is taking place in the context of European priorities, necessitates a thorough study of the goals, content, methods, means and forms of organizing physical education for children and youth, which implies, in particular, the need to forecast innovations in Ukrainian health pedagogy, taking into account the foreign research field.</w:t>
      </w:r>
      <w:r w:rsidRPr="008D67ED">
        <w:rPr>
          <w:rFonts w:eastAsia="Calibri"/>
          <w:sz w:val="24"/>
          <w:szCs w:val="24"/>
          <w:lang w:val="en-US"/>
        </w:rPr>
        <w:t xml:space="preserve"> </w:t>
      </w:r>
      <w:r w:rsidRPr="008D67ED">
        <w:rPr>
          <w:rFonts w:eastAsia="Calibri"/>
          <w:sz w:val="24"/>
          <w:szCs w:val="24"/>
        </w:rPr>
        <w:t>Worthy of attention in this context is the experience of recreational and health activities carried out in Poland in the 19th and early 20th centuries at special sites known as «Parks of Dr.</w:t>
      </w:r>
      <w:r w:rsidRPr="008D67ED">
        <w:rPr>
          <w:rFonts w:eastAsia="Calibri"/>
          <w:sz w:val="24"/>
          <w:szCs w:val="24"/>
          <w:lang w:val="en-US"/>
        </w:rPr>
        <w:t> </w:t>
      </w:r>
      <w:r w:rsidRPr="008D67ED">
        <w:rPr>
          <w:rFonts w:eastAsia="Calibri"/>
          <w:sz w:val="24"/>
          <w:szCs w:val="24"/>
        </w:rPr>
        <w:t>Henryk Jordan».</w:t>
      </w:r>
    </w:p>
    <w:p w:rsidR="0004467E" w:rsidRDefault="0004467E" w:rsidP="0004467E">
      <w:pPr>
        <w:framePr w:w="9106" w:h="653" w:hRule="exact" w:wrap="auto" w:vAnchor="page" w:hAnchor="page" w:x="1464" w:y="15609"/>
        <w:ind w:left="33" w:right="-1"/>
        <w:rPr>
          <w:rFonts w:eastAsia="Calibri"/>
          <w:sz w:val="20"/>
          <w:szCs w:val="20"/>
        </w:rPr>
      </w:pPr>
    </w:p>
    <w:p w:rsidR="008D67ED" w:rsidRPr="008D67ED" w:rsidRDefault="008D67ED" w:rsidP="0004467E">
      <w:pPr>
        <w:framePr w:w="9106" w:h="653" w:hRule="exact" w:wrap="auto" w:vAnchor="page" w:hAnchor="page" w:x="1464" w:y="15609"/>
        <w:ind w:left="33" w:right="-1"/>
        <w:rPr>
          <w:rFonts w:eastAsia="Calibri"/>
          <w:sz w:val="20"/>
          <w:szCs w:val="20"/>
        </w:rPr>
      </w:pPr>
      <w:r w:rsidRPr="008D67ED">
        <w:rPr>
          <w:rFonts w:eastAsia="Calibri"/>
          <w:sz w:val="20"/>
          <w:szCs w:val="20"/>
        </w:rPr>
        <w:t>©</w:t>
      </w:r>
      <w:r w:rsidRPr="008D67ED">
        <w:rPr>
          <w:rFonts w:eastAsia="Calibri"/>
          <w:spacing w:val="33"/>
          <w:sz w:val="20"/>
          <w:szCs w:val="20"/>
        </w:rPr>
        <w:t xml:space="preserve"> </w:t>
      </w:r>
      <w:r w:rsidRPr="008D67ED">
        <w:rPr>
          <w:rFonts w:eastAsia="Calibri"/>
          <w:bCs/>
          <w:sz w:val="20"/>
          <w:szCs w:val="20"/>
        </w:rPr>
        <w:t xml:space="preserve">Slyvka </w:t>
      </w:r>
      <w:r w:rsidRPr="008D67ED">
        <w:rPr>
          <w:rFonts w:eastAsia="Calibri"/>
          <w:bCs/>
          <w:sz w:val="20"/>
          <w:szCs w:val="20"/>
          <w:lang w:val="en-GB"/>
        </w:rPr>
        <w:t>L</w:t>
      </w:r>
      <w:r w:rsidRPr="008D67ED">
        <w:rPr>
          <w:rFonts w:eastAsia="Calibri"/>
          <w:bCs/>
          <w:sz w:val="20"/>
          <w:szCs w:val="20"/>
        </w:rPr>
        <w:t>.,</w:t>
      </w:r>
      <w:r w:rsidR="0004467E">
        <w:rPr>
          <w:rFonts w:eastAsia="Calibri"/>
          <w:spacing w:val="1"/>
          <w:sz w:val="20"/>
          <w:szCs w:val="20"/>
        </w:rPr>
        <w:t xml:space="preserve"> 2026</w:t>
      </w:r>
      <w:r w:rsidR="0004467E">
        <w:rPr>
          <w:rFonts w:eastAsia="Calibri"/>
          <w:spacing w:val="1"/>
          <w:sz w:val="20"/>
          <w:szCs w:val="20"/>
        </w:rPr>
        <w:tab/>
      </w:r>
      <w:r w:rsidR="0004467E">
        <w:rPr>
          <w:rFonts w:eastAsia="Calibri"/>
          <w:spacing w:val="1"/>
          <w:sz w:val="20"/>
          <w:szCs w:val="20"/>
        </w:rPr>
        <w:tab/>
      </w:r>
      <w:r w:rsidR="0004467E">
        <w:rPr>
          <w:rFonts w:eastAsia="Calibri"/>
          <w:spacing w:val="1"/>
          <w:sz w:val="20"/>
          <w:szCs w:val="20"/>
        </w:rPr>
        <w:tab/>
      </w:r>
      <w:r w:rsidR="0004467E">
        <w:rPr>
          <w:rFonts w:eastAsia="Calibri"/>
          <w:spacing w:val="1"/>
          <w:sz w:val="20"/>
          <w:szCs w:val="20"/>
        </w:rPr>
        <w:tab/>
        <w:t xml:space="preserve">          </w:t>
      </w:r>
      <w:r w:rsidRPr="008D67ED">
        <w:rPr>
          <w:rFonts w:eastAsia="Calibri"/>
          <w:spacing w:val="1"/>
          <w:sz w:val="20"/>
          <w:szCs w:val="20"/>
        </w:rPr>
        <w:t>Увесь контент ліцензовано за умовами СС BY 4.0</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rPr>
        <w:t xml:space="preserve">In domestic scientific literature, there are few works dedicated to the personality of </w:t>
      </w:r>
      <w:r w:rsidRPr="008D67ED">
        <w:rPr>
          <w:rFonts w:eastAsia="Calibri"/>
          <w:sz w:val="24"/>
          <w:szCs w:val="24"/>
          <w:lang w:val="en-US"/>
        </w:rPr>
        <w:t>H. J</w:t>
      </w:r>
      <w:r w:rsidRPr="008D67ED">
        <w:rPr>
          <w:rFonts w:eastAsia="Calibri"/>
          <w:sz w:val="24"/>
          <w:szCs w:val="24"/>
        </w:rPr>
        <w:t xml:space="preserve">ordan and his role in the development of physical education of children and youth. The publication by O. Karpenko, dedicated to highlighting some aspects related to the problem of care for children and youth in the public activities of </w:t>
      </w:r>
      <w:r w:rsidRPr="008D67ED">
        <w:rPr>
          <w:rFonts w:eastAsia="Calibri"/>
          <w:sz w:val="24"/>
          <w:szCs w:val="24"/>
          <w:lang w:val="en-US"/>
        </w:rPr>
        <w:t>H. J</w:t>
      </w:r>
      <w:r w:rsidRPr="008D67ED">
        <w:rPr>
          <w:rFonts w:eastAsia="Calibri"/>
          <w:sz w:val="24"/>
          <w:szCs w:val="24"/>
        </w:rPr>
        <w:t>ordan, deserves attention [</w:t>
      </w:r>
      <w:r w:rsidRPr="008D67ED">
        <w:rPr>
          <w:rFonts w:eastAsia="Calibri"/>
          <w:sz w:val="24"/>
          <w:szCs w:val="24"/>
          <w:lang w:val="en-US"/>
        </w:rPr>
        <w:t>1</w:t>
      </w:r>
      <w:r w:rsidRPr="008D67ED">
        <w:rPr>
          <w:rFonts w:eastAsia="Calibri"/>
          <w:sz w:val="24"/>
          <w:szCs w:val="24"/>
        </w:rPr>
        <w:t xml:space="preserve">]. In the </w:t>
      </w:r>
      <w:r w:rsidRPr="008D67ED">
        <w:rPr>
          <w:rFonts w:eastAsia="Calibri"/>
          <w:sz w:val="24"/>
          <w:szCs w:val="24"/>
        </w:rPr>
        <w:lastRenderedPageBreak/>
        <w:t xml:space="preserve">context of covering the physical education system of secondary school students in Poland, the name of </w:t>
      </w:r>
      <w:r w:rsidRPr="008D67ED">
        <w:rPr>
          <w:rFonts w:eastAsia="Calibri"/>
          <w:sz w:val="24"/>
          <w:szCs w:val="24"/>
          <w:lang w:val="en-US"/>
        </w:rPr>
        <w:t>H. </w:t>
      </w:r>
      <w:r w:rsidRPr="008D67ED">
        <w:rPr>
          <w:rFonts w:eastAsia="Calibri"/>
          <w:sz w:val="24"/>
          <w:szCs w:val="24"/>
        </w:rPr>
        <w:t>Jordan is mentioned in the monograph by E.</w:t>
      </w:r>
      <w:r w:rsidRPr="008D67ED">
        <w:rPr>
          <w:rFonts w:eastAsia="Calibri"/>
          <w:sz w:val="24"/>
          <w:szCs w:val="24"/>
          <w:lang w:val="en-US"/>
        </w:rPr>
        <w:t> V</w:t>
      </w:r>
      <w:r w:rsidRPr="008D67ED">
        <w:rPr>
          <w:rFonts w:eastAsia="Calibri"/>
          <w:sz w:val="24"/>
          <w:szCs w:val="24"/>
        </w:rPr>
        <w:t>ilczko</w:t>
      </w:r>
      <w:r w:rsidRPr="008D67ED">
        <w:rPr>
          <w:rFonts w:eastAsia="Calibri"/>
          <w:sz w:val="24"/>
          <w:szCs w:val="24"/>
          <w:lang w:val="en-US"/>
        </w:rPr>
        <w:t>v</w:t>
      </w:r>
      <w:r w:rsidRPr="008D67ED">
        <w:rPr>
          <w:rFonts w:eastAsia="Calibri"/>
          <w:sz w:val="24"/>
          <w:szCs w:val="24"/>
        </w:rPr>
        <w:t>sk</w:t>
      </w:r>
      <w:r w:rsidRPr="008D67ED">
        <w:rPr>
          <w:rFonts w:eastAsia="Calibri"/>
          <w:sz w:val="24"/>
          <w:szCs w:val="24"/>
          <w:lang w:val="en-US"/>
        </w:rPr>
        <w:t>y</w:t>
      </w:r>
      <w:r w:rsidRPr="008D67ED">
        <w:rPr>
          <w:rFonts w:eastAsia="Calibri"/>
          <w:sz w:val="24"/>
          <w:szCs w:val="24"/>
        </w:rPr>
        <w:t>, B.</w:t>
      </w:r>
      <w:r w:rsidRPr="008D67ED">
        <w:rPr>
          <w:rFonts w:eastAsia="Calibri"/>
          <w:sz w:val="24"/>
          <w:szCs w:val="24"/>
          <w:lang w:val="en-US"/>
        </w:rPr>
        <w:t> </w:t>
      </w:r>
      <w:r w:rsidRPr="008D67ED">
        <w:rPr>
          <w:rFonts w:eastAsia="Calibri"/>
          <w:sz w:val="24"/>
          <w:szCs w:val="24"/>
        </w:rPr>
        <w:t>Shiyan, A.</w:t>
      </w:r>
      <w:r w:rsidRPr="008D67ED">
        <w:rPr>
          <w:rFonts w:eastAsia="Calibri"/>
          <w:sz w:val="24"/>
          <w:szCs w:val="24"/>
          <w:lang w:val="en-US"/>
        </w:rPr>
        <w:t> </w:t>
      </w:r>
      <w:r w:rsidRPr="008D67ED">
        <w:rPr>
          <w:rFonts w:eastAsia="Calibri"/>
          <w:sz w:val="24"/>
          <w:szCs w:val="24"/>
        </w:rPr>
        <w:t>Tsyos and V.</w:t>
      </w:r>
      <w:r w:rsidRPr="008D67ED">
        <w:rPr>
          <w:rFonts w:eastAsia="Calibri"/>
          <w:sz w:val="24"/>
          <w:szCs w:val="24"/>
          <w:lang w:val="en-US"/>
        </w:rPr>
        <w:t> </w:t>
      </w:r>
      <w:r w:rsidRPr="008D67ED">
        <w:rPr>
          <w:rFonts w:eastAsia="Calibri"/>
          <w:sz w:val="24"/>
          <w:szCs w:val="24"/>
        </w:rPr>
        <w:t>Pasichnyk</w:t>
      </w:r>
      <w:r w:rsidRPr="008D67ED">
        <w:rPr>
          <w:rFonts w:eastAsia="Calibri"/>
          <w:sz w:val="24"/>
          <w:szCs w:val="24"/>
          <w:lang w:val="en-US"/>
        </w:rPr>
        <w:t xml:space="preserve"> </w:t>
      </w:r>
      <w:r w:rsidRPr="008D67ED">
        <w:rPr>
          <w:rFonts w:eastAsia="Calibri"/>
          <w:sz w:val="24"/>
          <w:szCs w:val="24"/>
        </w:rPr>
        <w:t>[</w:t>
      </w:r>
      <w:r w:rsidRPr="008D67ED">
        <w:rPr>
          <w:rFonts w:eastAsia="Calibri"/>
          <w:sz w:val="24"/>
          <w:szCs w:val="24"/>
          <w:shd w:val="clear" w:color="auto" w:fill="FFFFFF"/>
        </w:rPr>
        <w:t>2].</w:t>
      </w:r>
      <w:r w:rsidRPr="008D67ED">
        <w:rPr>
          <w:rFonts w:eastAsia="Calibri"/>
          <w:sz w:val="24"/>
          <w:szCs w:val="24"/>
        </w:rPr>
        <w:t xml:space="preserve"> Sporadic manifestations of historical</w:t>
      </w:r>
      <w:r w:rsidRPr="008D67ED">
        <w:rPr>
          <w:rFonts w:eastAsia="Calibri"/>
          <w:sz w:val="24"/>
          <w:szCs w:val="24"/>
          <w:lang w:val="en-US"/>
        </w:rPr>
        <w:t>-</w:t>
      </w:r>
      <w:r w:rsidRPr="008D67ED">
        <w:rPr>
          <w:rFonts w:eastAsia="Calibri"/>
          <w:sz w:val="24"/>
          <w:szCs w:val="24"/>
        </w:rPr>
        <w:t>critical analysis of the significance of Jordanian parks and gardens in organizing the free time of children and youth can be found in the article by N.</w:t>
      </w:r>
      <w:r w:rsidRPr="008D67ED">
        <w:rPr>
          <w:rFonts w:eastAsia="Calibri"/>
          <w:sz w:val="24"/>
          <w:szCs w:val="24"/>
          <w:lang w:val="en-US"/>
        </w:rPr>
        <w:t> </w:t>
      </w:r>
      <w:r w:rsidRPr="008D67ED">
        <w:rPr>
          <w:rFonts w:eastAsia="Calibri"/>
          <w:sz w:val="24"/>
          <w:szCs w:val="24"/>
        </w:rPr>
        <w:t>Savchenko</w:t>
      </w:r>
      <w:r w:rsidRPr="008D67ED">
        <w:rPr>
          <w:rFonts w:eastAsia="Calibri"/>
          <w:sz w:val="24"/>
          <w:szCs w:val="24"/>
          <w:lang w:val="en-US"/>
        </w:rPr>
        <w:t xml:space="preserve"> </w:t>
      </w:r>
      <w:r w:rsidRPr="008D67ED">
        <w:rPr>
          <w:rFonts w:eastAsia="Calibri"/>
          <w:sz w:val="24"/>
          <w:szCs w:val="24"/>
        </w:rPr>
        <w:t>[3].</w:t>
      </w:r>
      <w:r w:rsidRPr="008D67ED">
        <w:rPr>
          <w:rFonts w:eastAsia="Calibri"/>
          <w:sz w:val="24"/>
          <w:szCs w:val="24"/>
          <w:lang w:val="en-US"/>
        </w:rPr>
        <w:t xml:space="preserve"> </w:t>
      </w:r>
      <w:r w:rsidRPr="008D67ED">
        <w:rPr>
          <w:rFonts w:eastAsia="Calibri"/>
          <w:sz w:val="24"/>
          <w:szCs w:val="24"/>
        </w:rPr>
        <w:t xml:space="preserve">A brief announcement about the life of </w:t>
      </w:r>
      <w:r w:rsidRPr="008D67ED">
        <w:rPr>
          <w:rFonts w:eastAsia="Calibri"/>
          <w:sz w:val="24"/>
          <w:szCs w:val="24"/>
          <w:lang w:val="en-US"/>
        </w:rPr>
        <w:t>H. J</w:t>
      </w:r>
      <w:r w:rsidRPr="008D67ED">
        <w:rPr>
          <w:rFonts w:eastAsia="Calibri"/>
          <w:sz w:val="24"/>
          <w:szCs w:val="24"/>
        </w:rPr>
        <w:t>ordan is presented in the post by L.</w:t>
      </w:r>
      <w:r w:rsidRPr="008D67ED">
        <w:rPr>
          <w:rFonts w:eastAsia="Calibri"/>
          <w:sz w:val="24"/>
          <w:szCs w:val="24"/>
          <w:lang w:val="en-US"/>
        </w:rPr>
        <w:t> </w:t>
      </w:r>
      <w:r w:rsidRPr="008D67ED">
        <w:rPr>
          <w:rFonts w:eastAsia="Calibri"/>
          <w:sz w:val="24"/>
          <w:szCs w:val="24"/>
        </w:rPr>
        <w:t>Romanchuk and T.</w:t>
      </w:r>
      <w:r w:rsidRPr="008D67ED">
        <w:rPr>
          <w:rFonts w:eastAsia="Calibri"/>
          <w:sz w:val="24"/>
          <w:szCs w:val="24"/>
          <w:lang w:val="en-US"/>
        </w:rPr>
        <w:t> </w:t>
      </w:r>
      <w:r w:rsidRPr="008D67ED">
        <w:rPr>
          <w:rFonts w:eastAsia="Calibri"/>
          <w:sz w:val="24"/>
          <w:szCs w:val="24"/>
        </w:rPr>
        <w:t>Kokovsky</w:t>
      </w:r>
      <w:r w:rsidRPr="008D67ED">
        <w:rPr>
          <w:rFonts w:eastAsia="Calibri"/>
          <w:sz w:val="24"/>
          <w:szCs w:val="24"/>
          <w:lang w:val="en-US"/>
        </w:rPr>
        <w:t xml:space="preserve"> </w:t>
      </w:r>
      <w:r w:rsidRPr="008D67ED">
        <w:rPr>
          <w:rFonts w:eastAsia="Calibri"/>
          <w:sz w:val="24"/>
          <w:szCs w:val="24"/>
        </w:rPr>
        <w:t>[</w:t>
      </w:r>
      <w:r w:rsidRPr="008D67ED">
        <w:rPr>
          <w:rFonts w:eastAsia="Calibri"/>
          <w:sz w:val="24"/>
          <w:szCs w:val="24"/>
          <w:shd w:val="clear" w:color="auto" w:fill="FFFFFF"/>
          <w:lang w:val="en-US"/>
        </w:rPr>
        <w:t>4</w:t>
      </w:r>
      <w:r w:rsidRPr="008D67ED">
        <w:rPr>
          <w:rFonts w:eastAsia="Calibri"/>
          <w:sz w:val="24"/>
          <w:szCs w:val="24"/>
          <w:shd w:val="clear" w:color="auto" w:fill="FFFFFF"/>
        </w:rPr>
        <w:t>].</w:t>
      </w:r>
      <w:r w:rsidRPr="008D67ED">
        <w:rPr>
          <w:rFonts w:eastAsia="Calibri"/>
          <w:sz w:val="24"/>
          <w:szCs w:val="24"/>
          <w:lang w:val="en-US"/>
        </w:rPr>
        <w:t xml:space="preserve"> </w:t>
      </w:r>
      <w:r w:rsidRPr="008D67ED">
        <w:rPr>
          <w:rFonts w:eastAsia="Calibri"/>
          <w:sz w:val="24"/>
          <w:szCs w:val="24"/>
        </w:rPr>
        <w:t>Significant information about the pedagogical health</w:t>
      </w:r>
      <w:r w:rsidRPr="008D67ED">
        <w:rPr>
          <w:rFonts w:eastAsia="Calibri"/>
          <w:sz w:val="24"/>
          <w:szCs w:val="24"/>
          <w:lang w:val="en-US"/>
        </w:rPr>
        <w:t>-</w:t>
      </w:r>
      <w:r w:rsidRPr="008D67ED">
        <w:rPr>
          <w:rFonts w:eastAsia="Calibri"/>
          <w:sz w:val="24"/>
          <w:szCs w:val="24"/>
        </w:rPr>
        <w:t xml:space="preserve">preserving activities of </w:t>
      </w:r>
      <w:r w:rsidRPr="008D67ED">
        <w:rPr>
          <w:rFonts w:eastAsia="Calibri"/>
          <w:sz w:val="24"/>
          <w:szCs w:val="24"/>
          <w:lang w:val="en-US"/>
        </w:rPr>
        <w:t>H. J</w:t>
      </w:r>
      <w:r w:rsidRPr="008D67ED">
        <w:rPr>
          <w:rFonts w:eastAsia="Calibri"/>
          <w:sz w:val="24"/>
          <w:szCs w:val="24"/>
        </w:rPr>
        <w:t>ordan is contained in the author’s works</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rPr>
        <w:t>5</w:t>
      </w:r>
      <w:r w:rsidRPr="008D67ED">
        <w:rPr>
          <w:rFonts w:eastAsia="Calibri"/>
          <w:sz w:val="24"/>
          <w:szCs w:val="24"/>
          <w:lang w:val="en-US"/>
        </w:rPr>
        <w:t>,</w:t>
      </w:r>
      <w:r w:rsidRPr="008D67ED">
        <w:rPr>
          <w:sz w:val="24"/>
          <w:szCs w:val="24"/>
        </w:rPr>
        <w:t>6</w:t>
      </w:r>
      <w:r w:rsidRPr="008D67ED">
        <w:rPr>
          <w:rFonts w:eastAsia="Calibri"/>
          <w:sz w:val="24"/>
          <w:szCs w:val="24"/>
        </w:rPr>
        <w:t>].</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rPr>
        <w:t xml:space="preserve">The historiographical achievements of Polish scholars in the field of research into the creativity and practical activities of </w:t>
      </w:r>
      <w:r w:rsidRPr="008D67ED">
        <w:rPr>
          <w:rFonts w:eastAsia="Calibri"/>
          <w:sz w:val="24"/>
          <w:szCs w:val="24"/>
          <w:lang w:val="en-US"/>
        </w:rPr>
        <w:t>H. J</w:t>
      </w:r>
      <w:r w:rsidRPr="008D67ED">
        <w:rPr>
          <w:rFonts w:eastAsia="Calibri"/>
          <w:sz w:val="24"/>
          <w:szCs w:val="24"/>
        </w:rPr>
        <w:t>ordan are broader and more detailed, as they have an almost 150</w:t>
      </w:r>
      <w:r w:rsidRPr="008D67ED">
        <w:rPr>
          <w:rFonts w:eastAsia="Calibri"/>
          <w:sz w:val="24"/>
          <w:szCs w:val="24"/>
          <w:lang w:val="en-US"/>
        </w:rPr>
        <w:t>-</w:t>
      </w:r>
      <w:r w:rsidRPr="008D67ED">
        <w:rPr>
          <w:rFonts w:eastAsia="Calibri"/>
          <w:sz w:val="24"/>
          <w:szCs w:val="24"/>
        </w:rPr>
        <w:t>year tradition. Among the particularly informative works that were published in the late 19th and early 20th centuries, we note the achievements of B.</w:t>
      </w:r>
      <w:r w:rsidRPr="008D67ED">
        <w:rPr>
          <w:rFonts w:eastAsia="Calibri"/>
          <w:sz w:val="24"/>
          <w:szCs w:val="24"/>
          <w:lang w:val="en-US"/>
        </w:rPr>
        <w:t> </w:t>
      </w:r>
      <w:r w:rsidRPr="008D67ED">
        <w:rPr>
          <w:rFonts w:eastAsia="Calibri"/>
          <w:sz w:val="24"/>
          <w:szCs w:val="24"/>
        </w:rPr>
        <w:t>Filiński</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7</w:t>
      </w:r>
      <w:r w:rsidRPr="008D67ED">
        <w:rPr>
          <w:rFonts w:eastAsia="Calibri"/>
          <w:sz w:val="24"/>
          <w:szCs w:val="24"/>
        </w:rPr>
        <w:t>], E.</w:t>
      </w:r>
      <w:r w:rsidRPr="008D67ED">
        <w:rPr>
          <w:rFonts w:eastAsia="Calibri"/>
          <w:sz w:val="24"/>
          <w:szCs w:val="24"/>
          <w:lang w:val="en-US"/>
        </w:rPr>
        <w:t> </w:t>
      </w:r>
      <w:r w:rsidRPr="008D67ED">
        <w:rPr>
          <w:rFonts w:eastAsia="Calibri"/>
          <w:sz w:val="24"/>
          <w:szCs w:val="24"/>
        </w:rPr>
        <w:t>Piase</w:t>
      </w:r>
      <w:r w:rsidRPr="008D67ED">
        <w:rPr>
          <w:rFonts w:eastAsia="Calibri"/>
          <w:sz w:val="24"/>
          <w:szCs w:val="24"/>
          <w:lang w:val="en-US"/>
        </w:rPr>
        <w:t>c</w:t>
      </w:r>
      <w:r w:rsidRPr="008D67ED">
        <w:rPr>
          <w:rFonts w:eastAsia="Calibri"/>
          <w:sz w:val="24"/>
          <w:szCs w:val="24"/>
        </w:rPr>
        <w:t>ki</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8</w:t>
      </w:r>
      <w:r w:rsidRPr="008D67ED">
        <w:rPr>
          <w:rFonts w:eastAsia="Calibri"/>
          <w:sz w:val="24"/>
          <w:szCs w:val="24"/>
        </w:rPr>
        <w:t>], Z.</w:t>
      </w:r>
      <w:r w:rsidRPr="008D67ED">
        <w:rPr>
          <w:rFonts w:eastAsia="Calibri"/>
          <w:sz w:val="24"/>
          <w:szCs w:val="24"/>
          <w:lang w:val="en-US"/>
        </w:rPr>
        <w:t> </w:t>
      </w:r>
      <w:r w:rsidRPr="008D67ED">
        <w:rPr>
          <w:rFonts w:eastAsia="Calibri"/>
          <w:sz w:val="24"/>
          <w:szCs w:val="24"/>
        </w:rPr>
        <w:t>Vyrob</w:t>
      </w:r>
      <w:r w:rsidRPr="008D67ED">
        <w:rPr>
          <w:rFonts w:eastAsia="Calibri"/>
          <w:sz w:val="24"/>
          <w:szCs w:val="24"/>
          <w:lang w:val="en-US"/>
        </w:rPr>
        <w:t>e</w:t>
      </w:r>
      <w:r w:rsidRPr="008D67ED">
        <w:rPr>
          <w:rFonts w:eastAsia="Calibri"/>
          <w:sz w:val="24"/>
          <w:szCs w:val="24"/>
        </w:rPr>
        <w:t>k</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9</w:t>
      </w:r>
      <w:r w:rsidRPr="008D67ED">
        <w:rPr>
          <w:rFonts w:eastAsia="Calibri"/>
          <w:sz w:val="24"/>
          <w:szCs w:val="24"/>
        </w:rPr>
        <w:t>], M.</w:t>
      </w:r>
      <w:r w:rsidRPr="008D67ED">
        <w:rPr>
          <w:rFonts w:eastAsia="Calibri"/>
          <w:sz w:val="24"/>
          <w:szCs w:val="24"/>
          <w:lang w:val="en-US"/>
        </w:rPr>
        <w:t> </w:t>
      </w:r>
      <w:r w:rsidRPr="008D67ED">
        <w:rPr>
          <w:rFonts w:eastAsia="Calibri"/>
          <w:sz w:val="24"/>
          <w:szCs w:val="24"/>
        </w:rPr>
        <w:t>Gody</w:t>
      </w:r>
      <w:r w:rsidRPr="008D67ED">
        <w:rPr>
          <w:rFonts w:eastAsia="Calibri"/>
          <w:sz w:val="24"/>
          <w:szCs w:val="24"/>
          <w:lang w:val="en-US"/>
        </w:rPr>
        <w:t>c</w:t>
      </w:r>
      <w:r w:rsidRPr="008D67ED">
        <w:rPr>
          <w:rFonts w:eastAsia="Calibri"/>
          <w:sz w:val="24"/>
          <w:szCs w:val="24"/>
        </w:rPr>
        <w:t>ki</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10</w:t>
      </w:r>
      <w:r w:rsidRPr="008D67ED">
        <w:rPr>
          <w:rFonts w:eastAsia="Calibri"/>
          <w:sz w:val="24"/>
          <w:szCs w:val="24"/>
        </w:rPr>
        <w:t>], and R.</w:t>
      </w:r>
      <w:r w:rsidRPr="008D67ED">
        <w:rPr>
          <w:rFonts w:eastAsia="Calibri"/>
          <w:sz w:val="24"/>
          <w:szCs w:val="24"/>
          <w:lang w:val="en-US"/>
        </w:rPr>
        <w:t> </w:t>
      </w:r>
      <w:r w:rsidRPr="008D67ED">
        <w:rPr>
          <w:rFonts w:eastAsia="Calibri"/>
          <w:sz w:val="24"/>
          <w:szCs w:val="24"/>
        </w:rPr>
        <w:t>Talarc</w:t>
      </w:r>
      <w:r w:rsidRPr="008D67ED">
        <w:rPr>
          <w:rFonts w:eastAsia="Calibri"/>
          <w:sz w:val="24"/>
          <w:szCs w:val="24"/>
          <w:lang w:val="en-US"/>
        </w:rPr>
        <w:t>z</w:t>
      </w:r>
      <w:r w:rsidRPr="008D67ED">
        <w:rPr>
          <w:rFonts w:eastAsia="Calibri"/>
          <w:sz w:val="24"/>
          <w:szCs w:val="24"/>
        </w:rPr>
        <w:t>ykó</w:t>
      </w:r>
      <w:r w:rsidRPr="008D67ED">
        <w:rPr>
          <w:rFonts w:eastAsia="Calibri"/>
          <w:sz w:val="24"/>
          <w:szCs w:val="24"/>
          <w:lang w:val="en-US"/>
        </w:rPr>
        <w:t>w</w:t>
      </w:r>
      <w:r w:rsidRPr="008D67ED">
        <w:rPr>
          <w:rFonts w:eastAsia="Calibri"/>
          <w:sz w:val="24"/>
          <w:szCs w:val="24"/>
        </w:rPr>
        <w:t>na</w:t>
      </w:r>
      <w:r w:rsidRPr="008D67ED">
        <w:rPr>
          <w:rFonts w:eastAsia="TimesNewRomanPSMT"/>
          <w:sz w:val="24"/>
          <w:szCs w:val="24"/>
          <w:lang w:val="en-US"/>
        </w:rPr>
        <w:t xml:space="preserve"> </w:t>
      </w:r>
      <w:r w:rsidRPr="008D67ED">
        <w:rPr>
          <w:rFonts w:eastAsia="Calibri"/>
          <w:sz w:val="24"/>
          <w:szCs w:val="24"/>
        </w:rPr>
        <w:t>[</w:t>
      </w:r>
      <w:r w:rsidRPr="008D67ED">
        <w:rPr>
          <w:rFonts w:eastAsia="Calibri"/>
          <w:kern w:val="28"/>
          <w:sz w:val="24"/>
          <w:szCs w:val="24"/>
          <w:lang w:val="en-US"/>
        </w:rPr>
        <w:t>11</w:t>
      </w:r>
      <w:r w:rsidRPr="008D67ED">
        <w:rPr>
          <w:rFonts w:eastAsia="Calibri"/>
          <w:sz w:val="24"/>
          <w:szCs w:val="24"/>
        </w:rPr>
        <w:t>]</w:t>
      </w:r>
      <w:r w:rsidRPr="008D67ED">
        <w:rPr>
          <w:rFonts w:eastAsia="Calibri"/>
          <w:sz w:val="24"/>
          <w:szCs w:val="24"/>
          <w:lang w:val="en-US"/>
        </w:rPr>
        <w:t xml:space="preserve">. </w:t>
      </w:r>
      <w:r w:rsidRPr="008D67ED">
        <w:rPr>
          <w:rFonts w:eastAsia="Calibri"/>
          <w:sz w:val="24"/>
          <w:szCs w:val="24"/>
        </w:rPr>
        <w:t xml:space="preserve">Significant factual material about the scientific and pedagogical views of </w:t>
      </w:r>
      <w:r w:rsidRPr="008D67ED">
        <w:rPr>
          <w:rFonts w:eastAsia="Calibri"/>
          <w:sz w:val="24"/>
          <w:szCs w:val="24"/>
          <w:lang w:val="en-US"/>
        </w:rPr>
        <w:t>H. J</w:t>
      </w:r>
      <w:r w:rsidRPr="008D67ED">
        <w:rPr>
          <w:rFonts w:eastAsia="Calibri"/>
          <w:sz w:val="24"/>
          <w:szCs w:val="24"/>
        </w:rPr>
        <w:t>ordan in the context of the socio</w:t>
      </w:r>
      <w:r w:rsidRPr="008D67ED">
        <w:rPr>
          <w:rFonts w:eastAsia="Calibri"/>
          <w:sz w:val="24"/>
          <w:szCs w:val="24"/>
          <w:lang w:val="en-US"/>
        </w:rPr>
        <w:noBreakHyphen/>
      </w:r>
      <w:r w:rsidRPr="008D67ED">
        <w:rPr>
          <w:rFonts w:eastAsia="Calibri"/>
          <w:sz w:val="24"/>
          <w:szCs w:val="24"/>
        </w:rPr>
        <w:t>cultural functions of physical education is represented by research that appeared in the 50s‒90s of the 20th century,</w:t>
      </w:r>
      <w:r w:rsidRPr="008D67ED">
        <w:rPr>
          <w:rFonts w:eastAsia="Calibri"/>
          <w:sz w:val="24"/>
          <w:szCs w:val="24"/>
          <w:lang w:val="en-US"/>
        </w:rPr>
        <w:t xml:space="preserve"> </w:t>
      </w:r>
      <w:r w:rsidRPr="008D67ED">
        <w:rPr>
          <w:rFonts w:eastAsia="Calibri"/>
          <w:sz w:val="24"/>
          <w:szCs w:val="24"/>
        </w:rPr>
        <w:t>in particular, these are publications by A.</w:t>
      </w:r>
      <w:r w:rsidRPr="008D67ED">
        <w:rPr>
          <w:rFonts w:eastAsia="Calibri"/>
          <w:sz w:val="24"/>
          <w:szCs w:val="24"/>
          <w:lang w:val="en-US"/>
        </w:rPr>
        <w:t> </w:t>
      </w:r>
      <w:r w:rsidRPr="008D67ED">
        <w:rPr>
          <w:rFonts w:eastAsia="Calibri"/>
          <w:sz w:val="24"/>
          <w:szCs w:val="24"/>
        </w:rPr>
        <w:t>Kamiński</w:t>
      </w:r>
      <w:r w:rsidRPr="008D67ED">
        <w:rPr>
          <w:rFonts w:eastAsia="Calibri"/>
          <w:sz w:val="24"/>
          <w:szCs w:val="24"/>
          <w:lang w:val="en-US"/>
        </w:rPr>
        <w:t xml:space="preserve"> [12]</w:t>
      </w:r>
      <w:r w:rsidRPr="008D67ED">
        <w:rPr>
          <w:rFonts w:eastAsia="Calibri"/>
          <w:sz w:val="24"/>
          <w:szCs w:val="24"/>
        </w:rPr>
        <w:t xml:space="preserve">, </w:t>
      </w:r>
      <w:r w:rsidRPr="008D67ED">
        <w:rPr>
          <w:rFonts w:eastAsia="Calibri"/>
          <w:sz w:val="24"/>
          <w:szCs w:val="24"/>
          <w:lang w:val="en-US"/>
        </w:rPr>
        <w:t>H</w:t>
      </w:r>
      <w:r w:rsidRPr="008D67ED">
        <w:rPr>
          <w:rFonts w:eastAsia="Calibri"/>
          <w:sz w:val="24"/>
          <w:szCs w:val="24"/>
        </w:rPr>
        <w:t>.</w:t>
      </w:r>
      <w:r w:rsidRPr="008D67ED">
        <w:rPr>
          <w:rFonts w:eastAsia="Calibri"/>
          <w:sz w:val="24"/>
          <w:szCs w:val="24"/>
          <w:lang w:val="en-US"/>
        </w:rPr>
        <w:t> </w:t>
      </w:r>
      <w:r w:rsidRPr="008D67ED">
        <w:rPr>
          <w:rFonts w:eastAsia="Calibri"/>
          <w:sz w:val="24"/>
          <w:szCs w:val="24"/>
        </w:rPr>
        <w:t>Smażyński</w:t>
      </w:r>
      <w:r w:rsidRPr="008D67ED">
        <w:rPr>
          <w:rFonts w:eastAsia="Calibri"/>
          <w:sz w:val="24"/>
          <w:szCs w:val="24"/>
          <w:lang w:val="en-US"/>
        </w:rPr>
        <w:t xml:space="preserve"> [13]</w:t>
      </w:r>
      <w:r w:rsidRPr="008D67ED">
        <w:rPr>
          <w:rFonts w:eastAsia="Calibri"/>
          <w:sz w:val="24"/>
          <w:szCs w:val="24"/>
        </w:rPr>
        <w:t>, J.</w:t>
      </w:r>
      <w:r w:rsidRPr="008D67ED">
        <w:rPr>
          <w:rFonts w:eastAsia="Calibri"/>
          <w:sz w:val="24"/>
          <w:szCs w:val="24"/>
          <w:lang w:val="en-US"/>
        </w:rPr>
        <w:t> </w:t>
      </w:r>
      <w:r w:rsidRPr="008D67ED">
        <w:rPr>
          <w:rFonts w:eastAsia="Calibri"/>
          <w:sz w:val="24"/>
          <w:szCs w:val="24"/>
        </w:rPr>
        <w:t>Morawska-Kleczko</w:t>
      </w:r>
      <w:r w:rsidRPr="008D67ED">
        <w:rPr>
          <w:rFonts w:eastAsia="Calibri"/>
          <w:sz w:val="24"/>
          <w:szCs w:val="24"/>
          <w:lang w:val="en-US"/>
        </w:rPr>
        <w:t>w</w:t>
      </w:r>
      <w:r w:rsidRPr="008D67ED">
        <w:rPr>
          <w:rFonts w:eastAsia="Calibri"/>
          <w:sz w:val="24"/>
          <w:szCs w:val="24"/>
        </w:rPr>
        <w:t>ska</w:t>
      </w:r>
      <w:r w:rsidRPr="008D67ED">
        <w:rPr>
          <w:rFonts w:eastAsia="Calibri"/>
          <w:sz w:val="24"/>
          <w:szCs w:val="24"/>
          <w:lang w:val="en-US"/>
        </w:rPr>
        <w:t xml:space="preserve"> [14]</w:t>
      </w:r>
      <w:r w:rsidRPr="008D67ED">
        <w:rPr>
          <w:rFonts w:eastAsia="Calibri"/>
          <w:sz w:val="24"/>
          <w:szCs w:val="24"/>
        </w:rPr>
        <w:t>, R.</w:t>
      </w:r>
      <w:r w:rsidRPr="008D67ED">
        <w:rPr>
          <w:rFonts w:eastAsia="Calibri"/>
          <w:sz w:val="24"/>
          <w:szCs w:val="24"/>
          <w:lang w:val="en-US"/>
        </w:rPr>
        <w:t> </w:t>
      </w:r>
      <w:r w:rsidRPr="008D67ED">
        <w:rPr>
          <w:rFonts w:eastAsia="Calibri"/>
          <w:sz w:val="24"/>
          <w:szCs w:val="24"/>
        </w:rPr>
        <w:t>Wroczyński</w:t>
      </w:r>
      <w:r w:rsidRPr="008D67ED">
        <w:rPr>
          <w:rFonts w:eastAsia="Calibri"/>
          <w:sz w:val="24"/>
          <w:szCs w:val="24"/>
          <w:lang w:val="en-US"/>
        </w:rPr>
        <w:t xml:space="preserve"> [15]</w:t>
      </w:r>
      <w:r w:rsidRPr="008D67ED">
        <w:rPr>
          <w:rFonts w:eastAsia="Calibri"/>
          <w:sz w:val="24"/>
          <w:szCs w:val="24"/>
        </w:rPr>
        <w:t>, M.</w:t>
      </w:r>
      <w:r w:rsidRPr="008D67ED">
        <w:rPr>
          <w:rFonts w:eastAsia="Calibri"/>
          <w:sz w:val="24"/>
          <w:szCs w:val="24"/>
          <w:lang w:val="en-US"/>
        </w:rPr>
        <w:t> </w:t>
      </w:r>
      <w:r w:rsidRPr="008D67ED">
        <w:rPr>
          <w:rFonts w:eastAsia="Calibri"/>
          <w:sz w:val="24"/>
          <w:szCs w:val="24"/>
        </w:rPr>
        <w:t>Demel</w:t>
      </w:r>
      <w:r w:rsidRPr="008D67ED">
        <w:rPr>
          <w:rFonts w:eastAsia="Calibri"/>
          <w:sz w:val="24"/>
          <w:szCs w:val="24"/>
          <w:lang w:val="en-US"/>
        </w:rPr>
        <w:t xml:space="preserve"> [16]</w:t>
      </w:r>
      <w:r w:rsidRPr="008D67ED">
        <w:rPr>
          <w:rFonts w:eastAsia="Calibri"/>
          <w:sz w:val="24"/>
          <w:szCs w:val="24"/>
        </w:rPr>
        <w:t xml:space="preserve"> and the monograph edited by M.</w:t>
      </w:r>
      <w:r w:rsidRPr="008D67ED">
        <w:rPr>
          <w:rFonts w:eastAsia="Calibri"/>
          <w:sz w:val="24"/>
          <w:szCs w:val="24"/>
          <w:lang w:val="en-US"/>
        </w:rPr>
        <w:t> </w:t>
      </w:r>
      <w:r w:rsidRPr="008D67ED">
        <w:rPr>
          <w:rFonts w:eastAsia="Calibri"/>
          <w:sz w:val="24"/>
          <w:szCs w:val="24"/>
        </w:rPr>
        <w:t>Pąchalska «Health in the Concept of Dr.</w:t>
      </w:r>
      <w:r w:rsidRPr="008D67ED">
        <w:rPr>
          <w:rFonts w:eastAsia="Calibri"/>
          <w:sz w:val="24"/>
          <w:szCs w:val="24"/>
          <w:lang w:val="en-US"/>
        </w:rPr>
        <w:t> </w:t>
      </w:r>
      <w:r w:rsidRPr="008D67ED">
        <w:rPr>
          <w:rFonts w:eastAsia="Calibri"/>
          <w:sz w:val="24"/>
          <w:szCs w:val="24"/>
        </w:rPr>
        <w:t>Henryk Jordan»</w:t>
      </w:r>
      <w:r w:rsidRPr="008D67ED">
        <w:rPr>
          <w:rFonts w:eastAsia="Calibri"/>
          <w:sz w:val="24"/>
          <w:szCs w:val="24"/>
          <w:lang w:val="en-US"/>
        </w:rPr>
        <w:t xml:space="preserve"> [17]</w:t>
      </w:r>
      <w:r w:rsidRPr="008D67ED">
        <w:rPr>
          <w:rFonts w:eastAsia="Calibri"/>
          <w:sz w:val="24"/>
          <w:szCs w:val="24"/>
        </w:rPr>
        <w:t>.</w:t>
      </w:r>
      <w:r w:rsidRPr="008D67ED">
        <w:rPr>
          <w:rFonts w:eastAsia="Calibri"/>
          <w:sz w:val="24"/>
          <w:szCs w:val="24"/>
          <w:lang w:val="en-US"/>
        </w:rPr>
        <w:t xml:space="preserve"> </w:t>
      </w:r>
      <w:r w:rsidRPr="008D67ED">
        <w:rPr>
          <w:rFonts w:eastAsia="Calibri"/>
          <w:sz w:val="24"/>
          <w:szCs w:val="24"/>
        </w:rPr>
        <w:t xml:space="preserve">Guiding and determining factors for evaluating the content and methodology of extracurricular forms of physical education, which were implemented on the initiative and under the patronage of </w:t>
      </w:r>
      <w:r w:rsidRPr="008D67ED">
        <w:rPr>
          <w:rFonts w:eastAsia="Calibri"/>
          <w:sz w:val="24"/>
          <w:szCs w:val="24"/>
          <w:lang w:val="en-US"/>
        </w:rPr>
        <w:t>H. J</w:t>
      </w:r>
      <w:r w:rsidRPr="008D67ED">
        <w:rPr>
          <w:rFonts w:eastAsia="Calibri"/>
          <w:sz w:val="24"/>
          <w:szCs w:val="24"/>
        </w:rPr>
        <w:t xml:space="preserve">ordan, are a number of studies published in the late 20th and early 21st centuries, namely: </w:t>
      </w:r>
      <w:r w:rsidRPr="008D67ED">
        <w:rPr>
          <w:rFonts w:eastAsia="Calibri"/>
          <w:bCs/>
          <w:sz w:val="24"/>
          <w:szCs w:val="24"/>
        </w:rPr>
        <w:t>publications by M.</w:t>
      </w:r>
      <w:r w:rsidRPr="008D67ED">
        <w:rPr>
          <w:rFonts w:eastAsia="Calibri"/>
          <w:bCs/>
          <w:sz w:val="24"/>
          <w:szCs w:val="24"/>
          <w:lang w:val="en-US"/>
        </w:rPr>
        <w:t> </w:t>
      </w:r>
      <w:r w:rsidRPr="008D67ED">
        <w:rPr>
          <w:rFonts w:eastAsia="Calibri"/>
          <w:bCs/>
          <w:sz w:val="24"/>
          <w:szCs w:val="24"/>
        </w:rPr>
        <w:t>Buko</w:t>
      </w:r>
      <w:r w:rsidRPr="008D67ED">
        <w:rPr>
          <w:rFonts w:eastAsia="Calibri"/>
          <w:bCs/>
          <w:sz w:val="24"/>
          <w:szCs w:val="24"/>
          <w:lang w:val="en-US"/>
        </w:rPr>
        <w:t xml:space="preserve">wiec [18], </w:t>
      </w:r>
      <w:r w:rsidRPr="008D67ED">
        <w:rPr>
          <w:rFonts w:eastAsia="Calibri"/>
          <w:bCs/>
          <w:sz w:val="24"/>
          <w:szCs w:val="24"/>
        </w:rPr>
        <w:t>K.</w:t>
      </w:r>
      <w:r w:rsidRPr="008D67ED">
        <w:rPr>
          <w:rFonts w:eastAsia="Calibri"/>
          <w:bCs/>
          <w:sz w:val="24"/>
          <w:szCs w:val="24"/>
          <w:lang w:val="en-US"/>
        </w:rPr>
        <w:t> </w:t>
      </w:r>
      <w:r w:rsidRPr="008D67ED">
        <w:rPr>
          <w:rFonts w:eastAsia="Calibri"/>
          <w:bCs/>
          <w:sz w:val="24"/>
          <w:szCs w:val="24"/>
        </w:rPr>
        <w:t>Długos</w:t>
      </w:r>
      <w:r w:rsidRPr="008D67ED">
        <w:rPr>
          <w:rFonts w:eastAsia="Calibri"/>
          <w:bCs/>
          <w:sz w:val="24"/>
          <w:szCs w:val="24"/>
          <w:lang w:val="en-US"/>
        </w:rPr>
        <w:t>z</w:t>
      </w:r>
      <w:r w:rsidRPr="008D67ED">
        <w:rPr>
          <w:rFonts w:eastAsia="Calibri"/>
          <w:bCs/>
          <w:sz w:val="24"/>
          <w:szCs w:val="24"/>
        </w:rPr>
        <w:t>e</w:t>
      </w:r>
      <w:r w:rsidRPr="008D67ED">
        <w:rPr>
          <w:rFonts w:eastAsia="Calibri"/>
          <w:bCs/>
          <w:sz w:val="24"/>
          <w:szCs w:val="24"/>
          <w:lang w:val="en-US"/>
        </w:rPr>
        <w:t>w</w:t>
      </w:r>
      <w:r w:rsidRPr="008D67ED">
        <w:rPr>
          <w:rFonts w:eastAsia="Calibri"/>
          <w:bCs/>
          <w:sz w:val="24"/>
          <w:szCs w:val="24"/>
        </w:rPr>
        <w:t>ska</w:t>
      </w:r>
      <w:r w:rsidRPr="008D67ED">
        <w:rPr>
          <w:rFonts w:eastAsia="Calibri"/>
          <w:bCs/>
          <w:sz w:val="24"/>
          <w:szCs w:val="24"/>
          <w:lang w:val="en-US"/>
        </w:rPr>
        <w:t xml:space="preserve"> [19]</w:t>
      </w:r>
      <w:r w:rsidRPr="008D67ED">
        <w:rPr>
          <w:rFonts w:eastAsia="Calibri"/>
          <w:bCs/>
          <w:sz w:val="24"/>
          <w:szCs w:val="24"/>
        </w:rPr>
        <w:t>, G.</w:t>
      </w:r>
      <w:r w:rsidRPr="008D67ED">
        <w:rPr>
          <w:rFonts w:eastAsia="Calibri"/>
          <w:bCs/>
          <w:sz w:val="24"/>
          <w:szCs w:val="24"/>
          <w:lang w:val="en-US"/>
        </w:rPr>
        <w:t> </w:t>
      </w:r>
      <w:r w:rsidRPr="008D67ED">
        <w:rPr>
          <w:rFonts w:eastAsia="Calibri"/>
          <w:bCs/>
          <w:sz w:val="24"/>
          <w:szCs w:val="24"/>
        </w:rPr>
        <w:t>Wagner</w:t>
      </w:r>
      <w:r w:rsidRPr="008D67ED">
        <w:rPr>
          <w:rFonts w:eastAsia="Calibri"/>
          <w:bCs/>
          <w:sz w:val="24"/>
          <w:szCs w:val="24"/>
          <w:lang w:val="en-US"/>
        </w:rPr>
        <w:t xml:space="preserve"> [20]</w:t>
      </w:r>
      <w:r w:rsidRPr="008D67ED">
        <w:rPr>
          <w:rFonts w:eastAsia="Calibri"/>
          <w:bCs/>
          <w:sz w:val="24"/>
          <w:szCs w:val="24"/>
        </w:rPr>
        <w:t>, A.</w:t>
      </w:r>
      <w:r w:rsidRPr="008D67ED">
        <w:rPr>
          <w:rFonts w:eastAsia="Calibri"/>
          <w:bCs/>
          <w:sz w:val="24"/>
          <w:szCs w:val="24"/>
          <w:lang w:val="en-US"/>
        </w:rPr>
        <w:t> </w:t>
      </w:r>
      <w:r w:rsidRPr="008D67ED">
        <w:rPr>
          <w:rFonts w:eastAsia="Calibri"/>
          <w:bCs/>
          <w:sz w:val="24"/>
          <w:szCs w:val="24"/>
        </w:rPr>
        <w:t>S</w:t>
      </w:r>
      <w:r w:rsidRPr="008D67ED">
        <w:rPr>
          <w:rFonts w:eastAsia="Calibri"/>
          <w:bCs/>
          <w:sz w:val="24"/>
          <w:szCs w:val="24"/>
          <w:lang w:val="en-US"/>
        </w:rPr>
        <w:t>z</w:t>
      </w:r>
      <w:r w:rsidRPr="008D67ED">
        <w:rPr>
          <w:rFonts w:eastAsia="Calibri"/>
          <w:bCs/>
          <w:sz w:val="24"/>
          <w:szCs w:val="24"/>
        </w:rPr>
        <w:t>ylar</w:t>
      </w:r>
      <w:r w:rsidRPr="008D67ED">
        <w:rPr>
          <w:rFonts w:eastAsia="Calibri"/>
          <w:bCs/>
          <w:sz w:val="24"/>
          <w:szCs w:val="24"/>
          <w:lang w:val="en-US"/>
        </w:rPr>
        <w:t xml:space="preserve"> [21]</w:t>
      </w:r>
      <w:r w:rsidRPr="008D67ED">
        <w:rPr>
          <w:rFonts w:eastAsia="TimesNewRomanPSMT"/>
          <w:sz w:val="24"/>
          <w:szCs w:val="24"/>
          <w:lang w:val="en-US"/>
        </w:rPr>
        <w:t>,</w:t>
      </w:r>
      <w:r w:rsidRPr="008D67ED">
        <w:rPr>
          <w:rFonts w:eastAsia="TimesNewRomanPSMT"/>
          <w:sz w:val="24"/>
          <w:szCs w:val="24"/>
        </w:rPr>
        <w:t xml:space="preserve"> </w:t>
      </w:r>
      <w:r w:rsidRPr="008D67ED">
        <w:rPr>
          <w:rFonts w:eastAsia="Calibri"/>
          <w:bCs/>
          <w:sz w:val="24"/>
          <w:szCs w:val="24"/>
        </w:rPr>
        <w:t>B.</w:t>
      </w:r>
      <w:r w:rsidRPr="008D67ED">
        <w:rPr>
          <w:rFonts w:eastAsia="Calibri"/>
          <w:bCs/>
          <w:sz w:val="24"/>
          <w:szCs w:val="24"/>
          <w:lang w:val="en-US"/>
        </w:rPr>
        <w:t> </w:t>
      </w:r>
      <w:r w:rsidRPr="008D67ED">
        <w:rPr>
          <w:rFonts w:eastAsia="Calibri"/>
          <w:bCs/>
          <w:sz w:val="24"/>
          <w:szCs w:val="24"/>
        </w:rPr>
        <w:t>Mati</w:t>
      </w:r>
      <w:r w:rsidRPr="008D67ED">
        <w:rPr>
          <w:rFonts w:eastAsia="Calibri"/>
          <w:bCs/>
          <w:sz w:val="24"/>
          <w:szCs w:val="24"/>
          <w:lang w:val="en-US"/>
        </w:rPr>
        <w:t>j</w:t>
      </w:r>
      <w:r w:rsidRPr="008D67ED">
        <w:rPr>
          <w:rFonts w:eastAsia="Calibri"/>
          <w:bCs/>
          <w:sz w:val="24"/>
          <w:szCs w:val="24"/>
        </w:rPr>
        <w:t>as</w:t>
      </w:r>
      <w:r w:rsidRPr="008D67ED">
        <w:rPr>
          <w:rFonts w:eastAsia="Calibri"/>
          <w:bCs/>
          <w:sz w:val="24"/>
          <w:szCs w:val="24"/>
          <w:lang w:val="en-US"/>
        </w:rPr>
        <w:t xml:space="preserve"> [22]</w:t>
      </w:r>
      <w:r w:rsidRPr="008D67ED">
        <w:rPr>
          <w:rFonts w:eastAsia="Calibri"/>
          <w:bCs/>
          <w:sz w:val="24"/>
          <w:szCs w:val="24"/>
        </w:rPr>
        <w:t>, M.</w:t>
      </w:r>
      <w:r w:rsidRPr="008D67ED">
        <w:rPr>
          <w:rFonts w:eastAsia="Calibri"/>
          <w:bCs/>
          <w:sz w:val="24"/>
          <w:szCs w:val="24"/>
          <w:lang w:val="en-US"/>
        </w:rPr>
        <w:t> Ż</w:t>
      </w:r>
      <w:r w:rsidRPr="008D67ED">
        <w:rPr>
          <w:rFonts w:eastAsia="Calibri"/>
          <w:bCs/>
          <w:sz w:val="24"/>
          <w:szCs w:val="24"/>
        </w:rPr>
        <w:t>mihro</w:t>
      </w:r>
      <w:r w:rsidRPr="008D67ED">
        <w:rPr>
          <w:rFonts w:eastAsia="Calibri"/>
          <w:bCs/>
          <w:sz w:val="24"/>
          <w:szCs w:val="24"/>
          <w:lang w:val="en-US"/>
        </w:rPr>
        <w:t>w</w:t>
      </w:r>
      <w:r w:rsidRPr="008D67ED">
        <w:rPr>
          <w:rFonts w:eastAsia="Calibri"/>
          <w:bCs/>
          <w:sz w:val="24"/>
          <w:szCs w:val="24"/>
        </w:rPr>
        <w:t>ska</w:t>
      </w:r>
      <w:r w:rsidRPr="008D67ED">
        <w:rPr>
          <w:rFonts w:eastAsia="Calibri"/>
          <w:bCs/>
          <w:sz w:val="24"/>
          <w:szCs w:val="24"/>
          <w:lang w:val="en-US"/>
        </w:rPr>
        <w:t xml:space="preserve"> [23]</w:t>
      </w:r>
      <w:r w:rsidRPr="008D67ED">
        <w:rPr>
          <w:rFonts w:eastAsia="TimesNewRomanPSMT"/>
          <w:sz w:val="24"/>
          <w:szCs w:val="24"/>
        </w:rPr>
        <w:t>; B.</w:t>
      </w:r>
      <w:r w:rsidRPr="008D67ED">
        <w:rPr>
          <w:rFonts w:eastAsia="TimesNewRomanPSMT"/>
          <w:sz w:val="24"/>
          <w:szCs w:val="24"/>
          <w:lang w:val="en-US"/>
        </w:rPr>
        <w:t> Ł</w:t>
      </w:r>
      <w:r w:rsidRPr="008D67ED">
        <w:rPr>
          <w:rFonts w:eastAsia="TimesNewRomanPSMT"/>
          <w:sz w:val="24"/>
          <w:szCs w:val="24"/>
        </w:rPr>
        <w:t>uc</w:t>
      </w:r>
      <w:r w:rsidRPr="008D67ED">
        <w:rPr>
          <w:rFonts w:eastAsia="TimesNewRomanPSMT"/>
          <w:sz w:val="24"/>
          <w:szCs w:val="24"/>
          <w:lang w:val="en-US"/>
        </w:rPr>
        <w:t>z</w:t>
      </w:r>
      <w:r w:rsidRPr="008D67ED">
        <w:rPr>
          <w:rFonts w:eastAsia="TimesNewRomanPSMT"/>
          <w:sz w:val="24"/>
          <w:szCs w:val="24"/>
        </w:rPr>
        <w:t>ynska’s monograph «The Phenomenon of Henryk Jordan ‒ a scientist, doctor, social worker, and advocate of the child’s right to movement and recreation»</w:t>
      </w:r>
      <w:r w:rsidRPr="008D67ED">
        <w:rPr>
          <w:rFonts w:eastAsia="Calibri"/>
          <w:bCs/>
          <w:sz w:val="24"/>
          <w:szCs w:val="24"/>
          <w:lang w:val="en-US"/>
        </w:rPr>
        <w:t xml:space="preserve"> [24]</w:t>
      </w:r>
      <w:r w:rsidRPr="008D67ED">
        <w:rPr>
          <w:rFonts w:eastAsia="TimesNewRomanPSMT"/>
          <w:sz w:val="24"/>
          <w:szCs w:val="24"/>
        </w:rPr>
        <w:t xml:space="preserve">; </w:t>
      </w:r>
      <w:r w:rsidRPr="008D67ED">
        <w:rPr>
          <w:rFonts w:eastAsia="Calibri"/>
          <w:sz w:val="24"/>
          <w:szCs w:val="24"/>
          <w:shd w:val="clear" w:color="auto" w:fill="FFFFFF"/>
        </w:rPr>
        <w:t>collective work «</w:t>
      </w:r>
      <w:r w:rsidRPr="008D67ED">
        <w:rPr>
          <w:rFonts w:eastAsia="Calibri"/>
          <w:sz w:val="24"/>
          <w:szCs w:val="24"/>
          <w:shd w:val="clear" w:color="auto" w:fill="FFFFFF"/>
          <w:lang w:val="en-US"/>
        </w:rPr>
        <w:t>J</w:t>
      </w:r>
      <w:r w:rsidRPr="008D67ED">
        <w:rPr>
          <w:rFonts w:eastAsia="Calibri"/>
          <w:sz w:val="24"/>
          <w:szCs w:val="24"/>
          <w:shd w:val="clear" w:color="auto" w:fill="FFFFFF"/>
        </w:rPr>
        <w:t>ordan’s ideas of health and physical education: (100 years later)»</w:t>
      </w:r>
      <w:r w:rsidRPr="008D67ED">
        <w:rPr>
          <w:rFonts w:eastAsia="Calibri"/>
          <w:sz w:val="24"/>
          <w:szCs w:val="24"/>
          <w:shd w:val="clear" w:color="auto" w:fill="FFFFFF"/>
          <w:lang w:val="en-US"/>
        </w:rPr>
        <w:t xml:space="preserve"> </w:t>
      </w:r>
      <w:r w:rsidRPr="008D67ED">
        <w:rPr>
          <w:rFonts w:eastAsia="Calibri"/>
          <w:bCs/>
          <w:sz w:val="24"/>
          <w:szCs w:val="24"/>
          <w:lang w:val="en-US"/>
        </w:rPr>
        <w:t>[25]</w:t>
      </w:r>
      <w:r w:rsidRPr="008D67ED">
        <w:rPr>
          <w:rFonts w:eastAsia="Calibri"/>
          <w:sz w:val="24"/>
          <w:szCs w:val="24"/>
          <w:shd w:val="clear" w:color="auto" w:fill="FFFFFF"/>
        </w:rPr>
        <w:t xml:space="preserve">; etc. </w:t>
      </w:r>
      <w:r w:rsidRPr="008D67ED">
        <w:rPr>
          <w:rFonts w:eastAsia="Calibri"/>
          <w:sz w:val="24"/>
          <w:szCs w:val="24"/>
        </w:rPr>
        <w:t xml:space="preserve">In our opinion, the permanence of historical and pedagogical reflections of Polish researchers on the biography and activities of </w:t>
      </w:r>
      <w:r w:rsidRPr="008D67ED">
        <w:rPr>
          <w:rFonts w:eastAsia="Calibri"/>
          <w:sz w:val="24"/>
          <w:szCs w:val="24"/>
          <w:lang w:val="en-US"/>
        </w:rPr>
        <w:t>H. </w:t>
      </w:r>
      <w:r w:rsidRPr="008D67ED">
        <w:rPr>
          <w:rFonts w:eastAsia="Calibri"/>
          <w:sz w:val="24"/>
          <w:szCs w:val="24"/>
        </w:rPr>
        <w:t xml:space="preserve">Jordan is due to the unusualness and scale of his creative work and interest in the educational system created by the scientist. </w:t>
      </w:r>
    </w:p>
    <w:p w:rsidR="008D67ED" w:rsidRPr="008D67ED" w:rsidRDefault="008D67ED" w:rsidP="008D67ED">
      <w:pPr>
        <w:spacing w:after="0" w:line="240" w:lineRule="auto"/>
        <w:ind w:firstLine="709"/>
        <w:jc w:val="both"/>
        <w:rPr>
          <w:rFonts w:eastAsia="Calibri"/>
          <w:sz w:val="24"/>
          <w:szCs w:val="24"/>
        </w:rPr>
      </w:pPr>
      <w:r w:rsidRPr="008D67ED">
        <w:rPr>
          <w:rFonts w:eastAsia="Calibri"/>
          <w:b/>
          <w:sz w:val="24"/>
          <w:szCs w:val="24"/>
        </w:rPr>
        <w:t>The purpose of the study</w:t>
      </w:r>
      <w:r w:rsidRPr="008D67ED">
        <w:rPr>
          <w:rFonts w:eastAsia="Calibri"/>
          <w:sz w:val="24"/>
          <w:szCs w:val="24"/>
        </w:rPr>
        <w:t xml:space="preserve"> is to analyze the activities of Henryk Jordan in organizing physical education for children and youth, to highlight the features of the implementation of recreational and health activities in the Dr.</w:t>
      </w:r>
      <w:r w:rsidRPr="008D67ED">
        <w:rPr>
          <w:rFonts w:eastAsia="Calibri"/>
          <w:sz w:val="24"/>
          <w:szCs w:val="24"/>
          <w:lang w:val="en-US"/>
        </w:rPr>
        <w:t> </w:t>
      </w:r>
      <w:r w:rsidRPr="008D67ED">
        <w:rPr>
          <w:rFonts w:eastAsia="Calibri"/>
          <w:sz w:val="24"/>
          <w:szCs w:val="24"/>
        </w:rPr>
        <w:t>Henryk Jordan City Park in Krakow.</w:t>
      </w:r>
    </w:p>
    <w:p w:rsidR="008D67ED" w:rsidRPr="008D67ED" w:rsidRDefault="008D67ED" w:rsidP="008D67ED">
      <w:pPr>
        <w:spacing w:after="0" w:line="240" w:lineRule="auto"/>
        <w:ind w:firstLine="709"/>
        <w:jc w:val="both"/>
        <w:rPr>
          <w:rFonts w:eastAsia="Calibri"/>
          <w:sz w:val="24"/>
          <w:szCs w:val="24"/>
          <w:lang w:val="en-US"/>
        </w:rPr>
      </w:pPr>
      <w:r w:rsidRPr="008D67ED">
        <w:rPr>
          <w:rFonts w:eastAsia="Calibri"/>
          <w:b/>
          <w:sz w:val="24"/>
          <w:szCs w:val="24"/>
        </w:rPr>
        <w:t>Materials and methods</w:t>
      </w:r>
      <w:r w:rsidRPr="008D67ED">
        <w:rPr>
          <w:rFonts w:eastAsia="Calibri"/>
          <w:sz w:val="24"/>
          <w:szCs w:val="24"/>
        </w:rPr>
        <w:t>. A number of research methods were used, namely: search-bibliographic ‒ for the analysis of scientific sources; personal</w:t>
      </w:r>
      <w:r w:rsidRPr="008D67ED">
        <w:rPr>
          <w:rFonts w:eastAsia="Calibri"/>
          <w:sz w:val="24"/>
          <w:szCs w:val="24"/>
          <w:lang w:val="en-US"/>
        </w:rPr>
        <w:t>-</w:t>
      </w:r>
      <w:r w:rsidRPr="008D67ED">
        <w:rPr>
          <w:rFonts w:eastAsia="Calibri"/>
          <w:sz w:val="24"/>
          <w:szCs w:val="24"/>
        </w:rPr>
        <w:t>biographical – for the analysis of the scientific work and practical achievements of Henryk Jordan;</w:t>
      </w:r>
      <w:r w:rsidRPr="008D67ED">
        <w:rPr>
          <w:rFonts w:eastAsia="Calibri"/>
          <w:color w:val="000000"/>
          <w:sz w:val="24"/>
          <w:szCs w:val="24"/>
          <w:lang w:val="en-US"/>
        </w:rPr>
        <w:t xml:space="preserve"> </w:t>
      </w:r>
      <w:r w:rsidRPr="008D67ED">
        <w:rPr>
          <w:rFonts w:eastAsia="Calibri"/>
          <w:sz w:val="24"/>
          <w:szCs w:val="24"/>
        </w:rPr>
        <w:t>chronological ‒</w:t>
      </w:r>
      <w:r w:rsidRPr="008D67ED">
        <w:rPr>
          <w:rFonts w:eastAsia="Calibri"/>
          <w:sz w:val="24"/>
          <w:szCs w:val="24"/>
          <w:lang w:val="en-US"/>
        </w:rPr>
        <w:t xml:space="preserve"> </w:t>
      </w:r>
      <w:r w:rsidRPr="008D67ED">
        <w:rPr>
          <w:rFonts w:eastAsia="Calibri"/>
          <w:sz w:val="24"/>
          <w:szCs w:val="24"/>
        </w:rPr>
        <w:t>to highlight the information obtained in accordance with the time sequence; comparative ‒ to formulate conclusions.</w:t>
      </w:r>
    </w:p>
    <w:p w:rsidR="008D67ED" w:rsidRPr="008D67ED" w:rsidRDefault="008D67ED" w:rsidP="008D67ED">
      <w:pPr>
        <w:spacing w:after="0" w:line="240" w:lineRule="auto"/>
        <w:ind w:firstLine="709"/>
        <w:jc w:val="both"/>
        <w:rPr>
          <w:rFonts w:eastAsia="TimesNewRomanPSMT"/>
          <w:sz w:val="24"/>
          <w:szCs w:val="24"/>
        </w:rPr>
      </w:pPr>
      <w:r w:rsidRPr="008D67ED">
        <w:rPr>
          <w:rFonts w:eastAsia="Calibri"/>
          <w:b/>
          <w:color w:val="000000"/>
          <w:sz w:val="24"/>
          <w:szCs w:val="24"/>
        </w:rPr>
        <w:t>Research results</w:t>
      </w:r>
      <w:r w:rsidRPr="008D67ED">
        <w:rPr>
          <w:rFonts w:eastAsia="Calibri"/>
          <w:color w:val="000000"/>
          <w:sz w:val="24"/>
          <w:szCs w:val="24"/>
        </w:rPr>
        <w:t>. In Poland, a thorough formulation of questions about the need to reform education in terms of solving the problem of preserving the health of children and youth took place in the era of innovative educational reforms, which is marked by the period of activity of the Commission for National Education (hereinafter ‒</w:t>
      </w:r>
      <w:r w:rsidRPr="008D67ED">
        <w:rPr>
          <w:rFonts w:eastAsia="Calibri"/>
          <w:color w:val="000000"/>
          <w:sz w:val="24"/>
          <w:szCs w:val="24"/>
          <w:lang w:val="en-US"/>
        </w:rPr>
        <w:t xml:space="preserve"> </w:t>
      </w:r>
      <w:r w:rsidRPr="008D67ED">
        <w:rPr>
          <w:rFonts w:eastAsia="Calibri"/>
          <w:color w:val="000000"/>
          <w:sz w:val="24"/>
          <w:szCs w:val="24"/>
        </w:rPr>
        <w:t xml:space="preserve">CNE), in fact the first ministry of education in Europe. </w:t>
      </w:r>
      <w:r w:rsidRPr="008D67ED">
        <w:rPr>
          <w:rFonts w:eastAsia="Calibri"/>
          <w:sz w:val="24"/>
          <w:szCs w:val="24"/>
        </w:rPr>
        <w:t>Despite the fact that the activities initiated by the</w:t>
      </w:r>
      <w:r w:rsidRPr="008D67ED">
        <w:rPr>
          <w:rFonts w:eastAsia="Calibri"/>
          <w:sz w:val="24"/>
          <w:szCs w:val="24"/>
          <w:lang w:val="en-US"/>
        </w:rPr>
        <w:t xml:space="preserve"> C</w:t>
      </w:r>
      <w:r w:rsidRPr="008D67ED">
        <w:rPr>
          <w:rFonts w:eastAsia="Calibri"/>
          <w:sz w:val="24"/>
          <w:szCs w:val="24"/>
        </w:rPr>
        <w:t>NE were suspended due to political events of the late 18th century, the ideological legacy of this institution in the field of physical education became a powerful source of creative initiatives for representatives of the Polish community in the 19th and early 20th centuries.</w:t>
      </w:r>
    </w:p>
    <w:p w:rsidR="008D67ED" w:rsidRPr="008D67ED" w:rsidRDefault="008D67ED" w:rsidP="008D67ED">
      <w:pPr>
        <w:spacing w:after="0" w:line="240" w:lineRule="auto"/>
        <w:ind w:firstLine="709"/>
        <w:jc w:val="both"/>
        <w:rPr>
          <w:rFonts w:eastAsia="Calibri"/>
          <w:sz w:val="24"/>
          <w:szCs w:val="24"/>
        </w:rPr>
      </w:pPr>
      <w:r w:rsidRPr="008D67ED">
        <w:rPr>
          <w:rFonts w:eastAsia="TimesNewRomanPSMT"/>
          <w:sz w:val="24"/>
          <w:szCs w:val="24"/>
        </w:rPr>
        <w:t>A great contribution to the rationalization of physical education (hereinafter ‒ PE) in Polish lands belongs to the doctor, teacher, public figure and philanthropist Henryk Jordan (Polish</w:t>
      </w:r>
      <w:r w:rsidRPr="008D67ED">
        <w:rPr>
          <w:rFonts w:eastAsia="Calibri"/>
          <w:sz w:val="24"/>
          <w:szCs w:val="24"/>
        </w:rPr>
        <w:t>: </w:t>
      </w:r>
      <w:r w:rsidRPr="008D67ED">
        <w:rPr>
          <w:rFonts w:eastAsia="Calibri"/>
          <w:i/>
          <w:sz w:val="24"/>
          <w:szCs w:val="24"/>
          <w:lang w:val="en-US"/>
        </w:rPr>
        <w:t>Henryk</w:t>
      </w:r>
      <w:r w:rsidRPr="008D67ED">
        <w:rPr>
          <w:rFonts w:eastAsia="Calibri"/>
          <w:i/>
          <w:sz w:val="24"/>
          <w:szCs w:val="24"/>
        </w:rPr>
        <w:t xml:space="preserve"> </w:t>
      </w:r>
      <w:r w:rsidRPr="008D67ED">
        <w:rPr>
          <w:rFonts w:eastAsia="Calibri"/>
          <w:i/>
          <w:sz w:val="24"/>
          <w:szCs w:val="24"/>
          <w:lang w:val="en-US"/>
        </w:rPr>
        <w:t>Jordan</w:t>
      </w:r>
      <w:r w:rsidRPr="008D67ED">
        <w:rPr>
          <w:rFonts w:eastAsia="Calibri"/>
          <w:i/>
          <w:sz w:val="24"/>
          <w:szCs w:val="24"/>
        </w:rPr>
        <w:t xml:space="preserve">, </w:t>
      </w:r>
      <w:r w:rsidRPr="008D67ED">
        <w:rPr>
          <w:rFonts w:eastAsia="Calibri"/>
          <w:sz w:val="24"/>
          <w:szCs w:val="24"/>
        </w:rPr>
        <w:t>1842‒1907)</w:t>
      </w:r>
      <w:r w:rsidRPr="008D67ED">
        <w:rPr>
          <w:rFonts w:eastAsia="TimesNewRomanPSMT"/>
          <w:sz w:val="24"/>
          <w:szCs w:val="24"/>
        </w:rPr>
        <w:t xml:space="preserve">. </w:t>
      </w:r>
      <w:r w:rsidRPr="008D67ED">
        <w:rPr>
          <w:rFonts w:eastAsia="Calibri"/>
          <w:sz w:val="24"/>
          <w:szCs w:val="24"/>
        </w:rPr>
        <w:t>The scientist is called a «noble and unique example of Polish pedagogy», who played a significant role in raising the physical potential and health of the Polish people, a «pioneer of modern physical education» [</w:t>
      </w:r>
      <w:r w:rsidRPr="008D67ED">
        <w:rPr>
          <w:rFonts w:eastAsia="Calibri"/>
          <w:kern w:val="28"/>
          <w:sz w:val="24"/>
          <w:szCs w:val="24"/>
          <w:lang w:val="en-US"/>
        </w:rPr>
        <w:t>19</w:t>
      </w:r>
      <w:r w:rsidRPr="008D67ED">
        <w:rPr>
          <w:rFonts w:eastAsia="Calibri"/>
          <w:sz w:val="24"/>
          <w:szCs w:val="24"/>
        </w:rPr>
        <w:t xml:space="preserve">, </w:t>
      </w:r>
      <w:r w:rsidRPr="008D67ED">
        <w:rPr>
          <w:rFonts w:eastAsia="Calibri"/>
          <w:sz w:val="24"/>
          <w:szCs w:val="24"/>
          <w:lang w:val="en-US"/>
        </w:rPr>
        <w:t>p</w:t>
      </w:r>
      <w:r w:rsidRPr="008D67ED">
        <w:rPr>
          <w:rFonts w:eastAsia="Calibri"/>
          <w:sz w:val="24"/>
          <w:szCs w:val="24"/>
        </w:rPr>
        <w:t>12].</w:t>
      </w:r>
    </w:p>
    <w:p w:rsidR="008D67ED" w:rsidRPr="008D67ED" w:rsidRDefault="008D67ED" w:rsidP="008D67ED">
      <w:pPr>
        <w:spacing w:after="0" w:line="240" w:lineRule="auto"/>
        <w:ind w:firstLine="709"/>
        <w:jc w:val="both"/>
        <w:rPr>
          <w:color w:val="000000"/>
          <w:sz w:val="24"/>
          <w:szCs w:val="24"/>
          <w:lang w:eastAsia="uk-UA"/>
        </w:rPr>
      </w:pPr>
      <w:r w:rsidRPr="008D67ED">
        <w:rPr>
          <w:sz w:val="24"/>
          <w:szCs w:val="24"/>
          <w:lang w:val="en-US" w:eastAsia="uk-UA"/>
        </w:rPr>
        <w:lastRenderedPageBreak/>
        <w:t>H. </w:t>
      </w:r>
      <w:r w:rsidRPr="008D67ED">
        <w:rPr>
          <w:sz w:val="24"/>
          <w:szCs w:val="24"/>
          <w:lang w:eastAsia="uk-UA"/>
        </w:rPr>
        <w:t>Jordan came from an impoverished noble family of descendants, once known as the Jordans of Zaklitsyn. He was the son of Boniface Jordan (1810‒?) and Salome Jordan (née Wędry</w:t>
      </w:r>
      <w:r w:rsidRPr="008D67ED">
        <w:rPr>
          <w:sz w:val="24"/>
          <w:szCs w:val="24"/>
          <w:lang w:val="en-US" w:eastAsia="uk-UA"/>
        </w:rPr>
        <w:t>ch</w:t>
      </w:r>
      <w:r w:rsidRPr="008D67ED">
        <w:rPr>
          <w:sz w:val="24"/>
          <w:szCs w:val="24"/>
          <w:lang w:eastAsia="uk-UA"/>
        </w:rPr>
        <w:t>o</w:t>
      </w:r>
      <w:r w:rsidRPr="008D67ED">
        <w:rPr>
          <w:sz w:val="24"/>
          <w:szCs w:val="24"/>
          <w:lang w:val="en-US" w:eastAsia="uk-UA"/>
        </w:rPr>
        <w:t>w</w:t>
      </w:r>
      <w:r w:rsidRPr="008D67ED">
        <w:rPr>
          <w:sz w:val="24"/>
          <w:szCs w:val="24"/>
          <w:lang w:eastAsia="uk-UA"/>
        </w:rPr>
        <w:t>ska; 1809‒1887)</w:t>
      </w:r>
      <w:r w:rsidRPr="008D67ED">
        <w:rPr>
          <w:rFonts w:eastAsia="Calibri"/>
          <w:sz w:val="24"/>
          <w:szCs w:val="24"/>
        </w:rPr>
        <w:t xml:space="preserve">. His father earned money by private tutoring, and his mother was a housewife, later, after his father’s death, she worked in a boarding house for maids. </w:t>
      </w:r>
      <w:r w:rsidRPr="008D67ED">
        <w:rPr>
          <w:sz w:val="24"/>
          <w:szCs w:val="24"/>
          <w:lang w:eastAsia="uk-UA"/>
        </w:rPr>
        <w:t xml:space="preserve">The boy received his primary education (first four grades) in Ternopil. Due to the lack of funds in the family, the boy had to start working early: he helped his mother by earning the small amount of money he received from tutoring. </w:t>
      </w:r>
      <w:r w:rsidRPr="008D67ED">
        <w:rPr>
          <w:rFonts w:eastAsia="Calibri"/>
          <w:sz w:val="24"/>
          <w:szCs w:val="24"/>
        </w:rPr>
        <w:t>Henryk completed his high school education in Tarnów, where his mother moved with her children from Ternopil.</w:t>
      </w:r>
      <w:r w:rsidRPr="008D67ED">
        <w:rPr>
          <w:rFonts w:eastAsia="Calibri"/>
          <w:sz w:val="24"/>
          <w:szCs w:val="24"/>
          <w:lang w:val="en-US"/>
        </w:rPr>
        <w:t xml:space="preserve"> </w:t>
      </w:r>
      <w:r w:rsidRPr="008D67ED">
        <w:rPr>
          <w:sz w:val="24"/>
          <w:szCs w:val="24"/>
          <w:lang w:eastAsia="uk-UA"/>
        </w:rPr>
        <w:t>As a high school student, the young man became interested in the libertarian movement, which was gaining momentum on the eve of the Polish January Uprising of 1863‒1864, whose supporters dreamed of a free and independent Poland, and participated in youth speeches and demonstrations against Moscow rule.</w:t>
      </w:r>
      <w:r w:rsidRPr="008D67ED">
        <w:rPr>
          <w:rFonts w:eastAsia="Calibri"/>
          <w:sz w:val="24"/>
          <w:szCs w:val="24"/>
        </w:rPr>
        <w:t xml:space="preserve"> </w:t>
      </w:r>
      <w:r w:rsidRPr="008D67ED">
        <w:rPr>
          <w:color w:val="000000"/>
          <w:sz w:val="24"/>
          <w:szCs w:val="24"/>
          <w:lang w:eastAsia="uk-UA"/>
        </w:rPr>
        <w:t>As a result, Henryk found himself facing the threat of expulsion from high school. Then his mother found a place for him at a gymnasium in Trieste (a city in Italy 430</w:t>
      </w:r>
      <w:r w:rsidRPr="008D67ED">
        <w:rPr>
          <w:color w:val="000000"/>
          <w:sz w:val="24"/>
          <w:szCs w:val="24"/>
          <w:lang w:val="en-US" w:eastAsia="uk-UA"/>
        </w:rPr>
        <w:t> </w:t>
      </w:r>
      <w:r w:rsidRPr="008D67ED">
        <w:rPr>
          <w:color w:val="000000"/>
          <w:sz w:val="24"/>
          <w:szCs w:val="24"/>
          <w:lang w:eastAsia="uk-UA"/>
        </w:rPr>
        <w:t>km north of Rome). At the end of July 1863, Jordan successfully passed the Italian exam and subsequently successfully completed his studies, receiving a high school diploma.</w:t>
      </w:r>
    </w:p>
    <w:p w:rsidR="008D67ED" w:rsidRPr="008D67ED" w:rsidRDefault="008D67ED" w:rsidP="008D67ED">
      <w:pPr>
        <w:spacing w:after="0" w:line="240" w:lineRule="auto"/>
        <w:ind w:firstLine="709"/>
        <w:jc w:val="both"/>
        <w:rPr>
          <w:color w:val="000000"/>
          <w:sz w:val="24"/>
          <w:szCs w:val="24"/>
          <w:lang w:eastAsia="uk-UA"/>
        </w:rPr>
      </w:pPr>
      <w:r w:rsidRPr="008D67ED">
        <w:rPr>
          <w:color w:val="000000"/>
          <w:sz w:val="24"/>
          <w:szCs w:val="24"/>
          <w:lang w:eastAsia="uk-UA"/>
        </w:rPr>
        <w:t xml:space="preserve">And then ‒ studies in Vienna, Krakow, Berlin. Later, seized by a thirst for travel, Henryk travels across the ocean ‒ to New York. </w:t>
      </w:r>
      <w:r w:rsidRPr="008D67ED">
        <w:rPr>
          <w:color w:val="000000"/>
          <w:sz w:val="24"/>
          <w:szCs w:val="24"/>
        </w:rPr>
        <w:t xml:space="preserve">There he studies again (masters the profession of a doctor) and earns a living by playing the piano in local gyms where girls practice. It was in these institutions that he became acquainted with Per Ling’s Swedish gymnastics.The relative simplicity of gymnastics and its focus on balanced training of all human muscles won the heart of </w:t>
      </w:r>
      <w:r w:rsidRPr="008D67ED">
        <w:rPr>
          <w:color w:val="000000"/>
          <w:sz w:val="24"/>
          <w:szCs w:val="24"/>
          <w:lang w:val="en-US"/>
        </w:rPr>
        <w:t>H. J</w:t>
      </w:r>
      <w:r w:rsidRPr="008D67ED">
        <w:rPr>
          <w:color w:val="000000"/>
          <w:sz w:val="24"/>
          <w:szCs w:val="24"/>
        </w:rPr>
        <w:t xml:space="preserve">ordan: he observes how it is implemented in practice. And after returning to his homeland in 1870, he began to apply it to the needs of Polish society. </w:t>
      </w:r>
      <w:r w:rsidRPr="008D67ED">
        <w:rPr>
          <w:color w:val="000000"/>
          <w:sz w:val="24"/>
          <w:szCs w:val="24"/>
          <w:lang w:eastAsia="uk-UA"/>
        </w:rPr>
        <w:t xml:space="preserve">Already in his native land, </w:t>
      </w:r>
      <w:r w:rsidRPr="008D67ED">
        <w:rPr>
          <w:color w:val="000000"/>
          <w:sz w:val="24"/>
          <w:szCs w:val="24"/>
          <w:lang w:val="en-US" w:eastAsia="uk-UA"/>
        </w:rPr>
        <w:t>H. J</w:t>
      </w:r>
      <w:r w:rsidRPr="008D67ED">
        <w:rPr>
          <w:color w:val="000000"/>
          <w:sz w:val="24"/>
          <w:szCs w:val="24"/>
          <w:lang w:eastAsia="uk-UA"/>
        </w:rPr>
        <w:t>ordan received a doctorate in medicine and began teaching at the Jagiellonian University.</w:t>
      </w:r>
      <w:r w:rsidRPr="008D67ED">
        <w:rPr>
          <w:color w:val="000000"/>
          <w:sz w:val="24"/>
          <w:szCs w:val="24"/>
          <w:lang w:val="en-US" w:eastAsia="uk-UA"/>
        </w:rPr>
        <w:t xml:space="preserve"> </w:t>
      </w:r>
      <w:r w:rsidRPr="008D67ED">
        <w:rPr>
          <w:color w:val="000000"/>
          <w:sz w:val="24"/>
          <w:szCs w:val="24"/>
          <w:lang w:eastAsia="uk-UA"/>
        </w:rPr>
        <w:t>Carries out various community activities, including in the Polish gymnastic society «Sokil»</w:t>
      </w:r>
      <w:r w:rsidRPr="008D67ED">
        <w:rPr>
          <w:rFonts w:eastAsia="Calibri"/>
          <w:color w:val="000000"/>
          <w:sz w:val="24"/>
          <w:szCs w:val="24"/>
        </w:rPr>
        <w:t xml:space="preserve"> </w:t>
      </w:r>
      <w:r w:rsidRPr="008D67ED">
        <w:rPr>
          <w:rFonts w:eastAsia="Calibri"/>
          <w:sz w:val="24"/>
          <w:szCs w:val="24"/>
        </w:rPr>
        <w:t>[</w:t>
      </w:r>
      <w:r w:rsidRPr="008D67ED">
        <w:rPr>
          <w:rFonts w:eastAsia="Calibri"/>
          <w:kern w:val="28"/>
          <w:sz w:val="24"/>
          <w:szCs w:val="24"/>
          <w:lang w:val="en-US"/>
        </w:rPr>
        <w:t>20</w:t>
      </w:r>
      <w:r w:rsidRPr="008D67ED">
        <w:rPr>
          <w:rFonts w:eastAsia="Calibri"/>
          <w:sz w:val="24"/>
          <w:szCs w:val="24"/>
        </w:rPr>
        <w:t xml:space="preserve">, </w:t>
      </w:r>
      <w:r w:rsidRPr="008D67ED">
        <w:rPr>
          <w:rFonts w:eastAsia="Calibri"/>
          <w:sz w:val="24"/>
          <w:szCs w:val="24"/>
          <w:lang w:val="en-US"/>
        </w:rPr>
        <w:t>p</w:t>
      </w:r>
      <w:r w:rsidRPr="008D67ED">
        <w:rPr>
          <w:rFonts w:eastAsia="Calibri"/>
          <w:sz w:val="24"/>
          <w:szCs w:val="24"/>
        </w:rPr>
        <w:t>810].</w:t>
      </w:r>
      <w:r w:rsidRPr="008D67ED">
        <w:rPr>
          <w:color w:val="000000"/>
          <w:sz w:val="24"/>
          <w:szCs w:val="24"/>
          <w:lang w:eastAsia="uk-UA"/>
        </w:rPr>
        <w:t xml:space="preserve"> </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rPr>
        <w:t>Speaking out against conservative prejudices that concerned the underestimation of the physical activity regime and active recreation of schoolchildren (in particular, during the break between lessons), the scientist emphasized the need to conduct active games during the long break (always under the supervision of a teacher), increase the time between breaks from 5 to 10 minutes and the long break to 30 minutes [</w:t>
      </w:r>
      <w:r w:rsidRPr="008D67ED">
        <w:rPr>
          <w:rFonts w:eastAsia="Calibri"/>
          <w:kern w:val="28"/>
          <w:sz w:val="24"/>
          <w:szCs w:val="24"/>
          <w:lang w:val="en-US"/>
        </w:rPr>
        <w:t>19</w:t>
      </w:r>
      <w:r w:rsidRPr="008D67ED">
        <w:rPr>
          <w:sz w:val="24"/>
          <w:szCs w:val="24"/>
          <w:lang w:eastAsia="ru-RU"/>
        </w:rPr>
        <w:t xml:space="preserve">, </w:t>
      </w:r>
      <w:r w:rsidRPr="008D67ED">
        <w:rPr>
          <w:sz w:val="24"/>
          <w:szCs w:val="24"/>
          <w:lang w:val="en-US" w:eastAsia="ru-RU"/>
        </w:rPr>
        <w:t>p</w:t>
      </w:r>
      <w:r w:rsidRPr="008D67ED">
        <w:rPr>
          <w:sz w:val="24"/>
          <w:szCs w:val="24"/>
          <w:lang w:eastAsia="ru-RU"/>
        </w:rPr>
        <w:t>13</w:t>
      </w:r>
      <w:r w:rsidRPr="008D67ED">
        <w:rPr>
          <w:rFonts w:eastAsia="Calibri"/>
          <w:sz w:val="24"/>
          <w:szCs w:val="24"/>
        </w:rPr>
        <w:t xml:space="preserve">]. </w:t>
      </w:r>
      <w:r w:rsidRPr="008D67ED">
        <w:rPr>
          <w:rFonts w:eastAsia="Calibri"/>
          <w:sz w:val="24"/>
          <w:szCs w:val="24"/>
          <w:shd w:val="clear" w:color="auto" w:fill="FFFFFF"/>
          <w:lang w:val="pl-PL"/>
        </w:rPr>
        <w:t xml:space="preserve">For his fruitful work in the pedagogical field, the congress of Polish teachers in Lviv (1900) elected H. Jordan an honorary president, and the Pedagogical Society (Polish: </w:t>
      </w:r>
      <w:r w:rsidRPr="008D67ED">
        <w:rPr>
          <w:rFonts w:eastAsia="Calibri"/>
          <w:i/>
          <w:sz w:val="24"/>
          <w:szCs w:val="24"/>
          <w:shd w:val="clear" w:color="auto" w:fill="FFFFFF"/>
          <w:lang w:val="pl-PL"/>
        </w:rPr>
        <w:t>Towarzystwo Pedagogiczne</w:t>
      </w:r>
      <w:r w:rsidRPr="008D67ED">
        <w:rPr>
          <w:rFonts w:eastAsia="Calibri"/>
          <w:sz w:val="24"/>
          <w:szCs w:val="24"/>
          <w:shd w:val="clear" w:color="auto" w:fill="FFFFFF"/>
          <w:lang w:val="pl-PL"/>
        </w:rPr>
        <w:t>) awarded the figure the title of honorary member [13</w:t>
      </w:r>
      <w:r w:rsidRPr="008D67ED">
        <w:rPr>
          <w:rFonts w:eastAsia="Calibri"/>
          <w:sz w:val="24"/>
          <w:szCs w:val="24"/>
          <w:shd w:val="clear" w:color="auto" w:fill="FFFFFF"/>
        </w:rPr>
        <w:t xml:space="preserve">, </w:t>
      </w:r>
      <w:r w:rsidRPr="008D67ED">
        <w:rPr>
          <w:rFonts w:eastAsia="Calibri"/>
          <w:sz w:val="24"/>
          <w:szCs w:val="24"/>
          <w:shd w:val="clear" w:color="auto" w:fill="FFFFFF"/>
          <w:lang w:val="en-US"/>
        </w:rPr>
        <w:t>p</w:t>
      </w:r>
      <w:r w:rsidRPr="008D67ED">
        <w:rPr>
          <w:rFonts w:eastAsia="Calibri"/>
          <w:sz w:val="24"/>
          <w:szCs w:val="24"/>
          <w:shd w:val="clear" w:color="auto" w:fill="FFFFFF"/>
        </w:rPr>
        <w:t>72-74</w:t>
      </w:r>
      <w:r w:rsidRPr="008D67ED">
        <w:rPr>
          <w:rFonts w:eastAsia="Calibri"/>
          <w:sz w:val="24"/>
          <w:szCs w:val="24"/>
          <w:shd w:val="clear" w:color="auto" w:fill="FFFFFF"/>
          <w:lang w:val="pl-PL"/>
        </w:rPr>
        <w:t xml:space="preserve">]. </w:t>
      </w:r>
      <w:r w:rsidRPr="008D67ED">
        <w:rPr>
          <w:rFonts w:eastAsia="Calibri"/>
          <w:sz w:val="24"/>
          <w:szCs w:val="24"/>
          <w:shd w:val="clear" w:color="auto" w:fill="FFFFFF"/>
        </w:rPr>
        <w:t xml:space="preserve">The development of elementary, general and vocational schools became one of </w:t>
      </w:r>
      <w:r w:rsidRPr="008D67ED">
        <w:rPr>
          <w:rFonts w:eastAsia="Calibri"/>
          <w:sz w:val="24"/>
          <w:szCs w:val="24"/>
          <w:shd w:val="clear" w:color="auto" w:fill="FFFFFF"/>
          <w:lang w:val="en-US"/>
        </w:rPr>
        <w:t>H. </w:t>
      </w:r>
      <w:r w:rsidRPr="008D67ED">
        <w:rPr>
          <w:rFonts w:eastAsia="Calibri"/>
          <w:sz w:val="24"/>
          <w:szCs w:val="24"/>
          <w:shd w:val="clear" w:color="auto" w:fill="FFFFFF"/>
        </w:rPr>
        <w:t xml:space="preserve">Jordan’s important tasks, which he carried out as a delegate from Krakow to the National School Council (Polish: </w:t>
      </w:r>
      <w:r w:rsidRPr="008D67ED">
        <w:rPr>
          <w:rFonts w:eastAsia="Calibri"/>
          <w:i/>
          <w:sz w:val="24"/>
          <w:szCs w:val="24"/>
          <w:shd w:val="clear" w:color="auto" w:fill="FFFFFF"/>
        </w:rPr>
        <w:t>Rada Krajowa Szkolna</w:t>
      </w:r>
      <w:r w:rsidRPr="008D67ED">
        <w:rPr>
          <w:rFonts w:eastAsia="Calibri"/>
          <w:sz w:val="24"/>
          <w:szCs w:val="24"/>
          <w:shd w:val="clear" w:color="auto" w:fill="FFFFFF"/>
        </w:rPr>
        <w:t>) (he held this position from 1902 until the end of his life)</w:t>
      </w:r>
      <w:r w:rsidRPr="008D67ED">
        <w:rPr>
          <w:rFonts w:eastAsia="Calibri"/>
          <w:sz w:val="24"/>
          <w:szCs w:val="24"/>
          <w:shd w:val="clear" w:color="auto" w:fill="FFFFFF"/>
          <w:lang w:val="en-US"/>
        </w:rPr>
        <w:t xml:space="preserve"> </w:t>
      </w:r>
      <w:r w:rsidRPr="008D67ED">
        <w:rPr>
          <w:rFonts w:eastAsia="Calibri"/>
          <w:sz w:val="24"/>
          <w:szCs w:val="24"/>
        </w:rPr>
        <w:t>[</w:t>
      </w:r>
      <w:r w:rsidRPr="008D67ED">
        <w:rPr>
          <w:rFonts w:eastAsia="Calibri"/>
          <w:kern w:val="28"/>
          <w:sz w:val="24"/>
          <w:szCs w:val="24"/>
          <w:lang w:val="en-US"/>
        </w:rPr>
        <w:t>19</w:t>
      </w:r>
      <w:r w:rsidRPr="008D67ED">
        <w:rPr>
          <w:sz w:val="24"/>
          <w:szCs w:val="24"/>
          <w:lang w:eastAsia="ru-RU"/>
        </w:rPr>
        <w:t xml:space="preserve">, </w:t>
      </w:r>
      <w:r w:rsidRPr="008D67ED">
        <w:rPr>
          <w:sz w:val="24"/>
          <w:szCs w:val="24"/>
          <w:lang w:val="en-US" w:eastAsia="ru-RU"/>
        </w:rPr>
        <w:t>p</w:t>
      </w:r>
      <w:r w:rsidRPr="008D67ED">
        <w:rPr>
          <w:sz w:val="24"/>
          <w:szCs w:val="24"/>
          <w:lang w:eastAsia="ru-RU"/>
        </w:rPr>
        <w:t>14].</w:t>
      </w:r>
    </w:p>
    <w:p w:rsidR="008D67ED" w:rsidRPr="008D67ED" w:rsidRDefault="008D67ED" w:rsidP="008D67ED">
      <w:pPr>
        <w:spacing w:after="0" w:line="240" w:lineRule="auto"/>
        <w:ind w:firstLine="709"/>
        <w:jc w:val="both"/>
        <w:rPr>
          <w:rFonts w:eastAsia="Calibri"/>
          <w:sz w:val="24"/>
          <w:szCs w:val="24"/>
        </w:rPr>
      </w:pPr>
      <w:r w:rsidRPr="008D67ED">
        <w:rPr>
          <w:sz w:val="24"/>
          <w:szCs w:val="24"/>
          <w:lang w:eastAsia="ru-RU"/>
        </w:rPr>
        <w:t xml:space="preserve">The search for ways to solve the problem of preserving and strengthening the health of Polish youth prompted the activist to join the Society of Holiday Colonies for Secondary School Students (Polish: </w:t>
      </w:r>
      <w:r w:rsidRPr="008D67ED">
        <w:rPr>
          <w:i/>
          <w:sz w:val="24"/>
          <w:szCs w:val="24"/>
          <w:lang w:eastAsia="ru-RU"/>
        </w:rPr>
        <w:t>Towarzystwo Kolonii Wakacyjnych</w:t>
      </w:r>
      <w:r w:rsidRPr="008D67ED">
        <w:rPr>
          <w:sz w:val="24"/>
          <w:szCs w:val="24"/>
          <w:lang w:eastAsia="ru-RU"/>
        </w:rPr>
        <w:t xml:space="preserve">), therefore, since 1904, </w:t>
      </w:r>
      <w:r w:rsidRPr="008D67ED">
        <w:rPr>
          <w:sz w:val="24"/>
          <w:szCs w:val="24"/>
          <w:lang w:val="en-US" w:eastAsia="ru-RU"/>
        </w:rPr>
        <w:t>H. </w:t>
      </w:r>
      <w:r w:rsidRPr="008D67ED">
        <w:rPr>
          <w:sz w:val="24"/>
          <w:szCs w:val="24"/>
          <w:lang w:eastAsia="ru-RU"/>
        </w:rPr>
        <w:t>Jordan’s arsenal of activities was supplemented by the organization of summer camps for youth</w:t>
      </w:r>
      <w:r w:rsidRPr="008D67ED">
        <w:rPr>
          <w:sz w:val="24"/>
          <w:szCs w:val="24"/>
          <w:lang w:val="en-US" w:eastAsia="ru-RU"/>
        </w:rPr>
        <w:t xml:space="preserve"> </w:t>
      </w:r>
      <w:r w:rsidRPr="008D67ED">
        <w:rPr>
          <w:rFonts w:eastAsia="Calibri"/>
          <w:sz w:val="24"/>
          <w:szCs w:val="24"/>
          <w:shd w:val="clear" w:color="auto" w:fill="FFFFFF"/>
          <w:lang w:val="pl-PL"/>
        </w:rPr>
        <w:t>[</w:t>
      </w:r>
      <w:r w:rsidRPr="008D67ED">
        <w:rPr>
          <w:rFonts w:eastAsia="Calibri"/>
          <w:sz w:val="24"/>
          <w:szCs w:val="24"/>
          <w:shd w:val="clear" w:color="auto" w:fill="FFFFFF"/>
          <w:lang w:val="en-US"/>
        </w:rPr>
        <w:t>13</w:t>
      </w:r>
      <w:r w:rsidRPr="008D67ED">
        <w:rPr>
          <w:rFonts w:eastAsia="Calibri"/>
          <w:sz w:val="24"/>
          <w:szCs w:val="24"/>
          <w:shd w:val="clear" w:color="auto" w:fill="FFFFFF"/>
        </w:rPr>
        <w:t xml:space="preserve">, </w:t>
      </w:r>
      <w:r w:rsidRPr="008D67ED">
        <w:rPr>
          <w:rFonts w:eastAsia="Calibri"/>
          <w:sz w:val="24"/>
          <w:szCs w:val="24"/>
          <w:shd w:val="clear" w:color="auto" w:fill="FFFFFF"/>
          <w:lang w:val="en-US"/>
        </w:rPr>
        <w:t>p</w:t>
      </w:r>
      <w:r w:rsidRPr="008D67ED">
        <w:rPr>
          <w:rFonts w:eastAsia="Calibri"/>
          <w:sz w:val="24"/>
          <w:szCs w:val="24"/>
          <w:shd w:val="clear" w:color="auto" w:fill="FFFFFF"/>
        </w:rPr>
        <w:t>75‒79, 148-149</w:t>
      </w:r>
      <w:r w:rsidRPr="008D67ED">
        <w:rPr>
          <w:rFonts w:eastAsia="Calibri"/>
          <w:sz w:val="24"/>
          <w:szCs w:val="24"/>
          <w:shd w:val="clear" w:color="auto" w:fill="FFFFFF"/>
          <w:lang w:val="pl-PL"/>
        </w:rPr>
        <w:t>]</w:t>
      </w:r>
      <w:r w:rsidRPr="008D67ED">
        <w:rPr>
          <w:rFonts w:eastAsia="Calibri"/>
          <w:sz w:val="24"/>
          <w:szCs w:val="24"/>
          <w:shd w:val="clear" w:color="auto" w:fill="FFFFFF"/>
        </w:rPr>
        <w:t>.</w:t>
      </w:r>
    </w:p>
    <w:p w:rsidR="008D67ED" w:rsidRPr="008D67ED" w:rsidRDefault="008D67ED" w:rsidP="008D67ED">
      <w:pPr>
        <w:spacing w:after="0" w:line="240" w:lineRule="auto"/>
        <w:ind w:firstLine="709"/>
        <w:jc w:val="both"/>
        <w:rPr>
          <w:rFonts w:eastAsia="Calibri"/>
          <w:color w:val="000000"/>
          <w:sz w:val="24"/>
          <w:szCs w:val="24"/>
          <w:lang w:val="en-US"/>
        </w:rPr>
      </w:pPr>
      <w:r w:rsidRPr="008D67ED">
        <w:rPr>
          <w:rFonts w:eastAsia="Calibri"/>
          <w:color w:val="000000"/>
          <w:sz w:val="24"/>
          <w:szCs w:val="24"/>
        </w:rPr>
        <w:t>The patriotic scientist understood well that the national community should educate citizens who are physically and spiritually healthy, intelligent and wise, with a strong character and hardworking. He considered the introduction of systematic physical education lessons in educational institutions to be a significant means of achieving this goal.</w:t>
      </w:r>
    </w:p>
    <w:p w:rsidR="008D67ED" w:rsidRPr="008D67ED" w:rsidRDefault="008D67ED" w:rsidP="008D67ED">
      <w:pPr>
        <w:spacing w:after="0" w:line="240" w:lineRule="auto"/>
        <w:ind w:firstLine="709"/>
        <w:jc w:val="both"/>
        <w:rPr>
          <w:color w:val="000000"/>
          <w:sz w:val="24"/>
          <w:szCs w:val="24"/>
          <w:lang w:eastAsia="uk-UA"/>
        </w:rPr>
      </w:pPr>
      <w:r w:rsidRPr="008D67ED">
        <w:rPr>
          <w:color w:val="000000"/>
          <w:sz w:val="24"/>
          <w:szCs w:val="24"/>
          <w:lang w:eastAsia="uk-UA"/>
        </w:rPr>
        <w:t xml:space="preserve">Having certain leverage as a deputy from the Krakow district to the Regional Sejm of Galicia in Lviv, </w:t>
      </w:r>
      <w:r w:rsidRPr="008D67ED">
        <w:rPr>
          <w:color w:val="000000"/>
          <w:sz w:val="24"/>
          <w:szCs w:val="24"/>
          <w:lang w:val="en-US" w:eastAsia="uk-UA"/>
        </w:rPr>
        <w:t>H. J</w:t>
      </w:r>
      <w:r w:rsidRPr="008D67ED">
        <w:rPr>
          <w:color w:val="000000"/>
          <w:sz w:val="24"/>
          <w:szCs w:val="24"/>
          <w:lang w:eastAsia="uk-UA"/>
        </w:rPr>
        <w:t xml:space="preserve">ordan wrote a corresponding statement, according to which compulsory gymnastics lessons were introduced to secondary schools, the content and forms of implementation of which were modeled on the system of the </w:t>
      </w:r>
      <w:r w:rsidRPr="008D67ED">
        <w:rPr>
          <w:color w:val="000000"/>
          <w:sz w:val="24"/>
          <w:szCs w:val="24"/>
        </w:rPr>
        <w:t>Ling’s Swedish gymnastics.</w:t>
      </w:r>
      <w:r w:rsidRPr="008D67ED">
        <w:rPr>
          <w:color w:val="000000"/>
          <w:sz w:val="24"/>
          <w:szCs w:val="24"/>
          <w:lang w:eastAsia="uk-UA"/>
        </w:rPr>
        <w:t xml:space="preserve"> </w:t>
      </w:r>
      <w:r w:rsidRPr="008D67ED">
        <w:rPr>
          <w:rFonts w:eastAsia="Calibri"/>
          <w:sz w:val="24"/>
          <w:szCs w:val="24"/>
        </w:rPr>
        <w:t xml:space="preserve">However, </w:t>
      </w:r>
      <w:r w:rsidRPr="008D67ED">
        <w:rPr>
          <w:rFonts w:eastAsia="Calibri"/>
          <w:sz w:val="24"/>
          <w:szCs w:val="24"/>
          <w:lang w:val="en-US"/>
        </w:rPr>
        <w:t>H. J</w:t>
      </w:r>
      <w:r w:rsidRPr="008D67ED">
        <w:rPr>
          <w:rFonts w:eastAsia="Calibri"/>
          <w:sz w:val="24"/>
          <w:szCs w:val="24"/>
        </w:rPr>
        <w:t>ordan understood that the introduction of appropriate forms of PE in schools is a complex and time</w:t>
      </w:r>
      <w:r w:rsidRPr="008D67ED">
        <w:rPr>
          <w:rFonts w:eastAsia="Calibri"/>
          <w:sz w:val="24"/>
          <w:szCs w:val="24"/>
          <w:lang w:val="en-US"/>
        </w:rPr>
        <w:noBreakHyphen/>
      </w:r>
      <w:r w:rsidRPr="008D67ED">
        <w:rPr>
          <w:rFonts w:eastAsia="Calibri"/>
          <w:sz w:val="24"/>
          <w:szCs w:val="24"/>
        </w:rPr>
        <w:t xml:space="preserve">consuming task, in particular, due to the lack of specially equipped </w:t>
      </w:r>
      <w:r w:rsidRPr="008D67ED">
        <w:rPr>
          <w:rFonts w:eastAsia="Calibri"/>
          <w:sz w:val="24"/>
          <w:szCs w:val="24"/>
        </w:rPr>
        <w:lastRenderedPageBreak/>
        <w:t>premises and an insufficient number of teachers capable of implementing this course in practice</w:t>
      </w:r>
      <w:r w:rsidRPr="008D67ED">
        <w:rPr>
          <w:rFonts w:eastAsia="Calibri"/>
          <w:sz w:val="24"/>
          <w:szCs w:val="24"/>
          <w:lang w:val="en-US"/>
        </w:rPr>
        <w:t xml:space="preserve"> </w:t>
      </w:r>
      <w:r w:rsidRPr="008D67ED">
        <w:rPr>
          <w:rFonts w:eastAsia="Calibri"/>
          <w:sz w:val="24"/>
          <w:szCs w:val="24"/>
        </w:rPr>
        <w:t>[</w:t>
      </w:r>
      <w:r w:rsidRPr="008D67ED">
        <w:rPr>
          <w:rFonts w:eastAsia="TimesNewRomanPSMT"/>
          <w:kern w:val="28"/>
          <w:sz w:val="24"/>
          <w:szCs w:val="24"/>
          <w:lang w:val="en-US"/>
        </w:rPr>
        <w:t>21</w:t>
      </w:r>
      <w:r w:rsidRPr="008D67ED">
        <w:rPr>
          <w:rFonts w:eastAsia="Calibri"/>
          <w:sz w:val="24"/>
          <w:szCs w:val="24"/>
        </w:rPr>
        <w:t xml:space="preserve">, </w:t>
      </w:r>
      <w:r w:rsidRPr="008D67ED">
        <w:rPr>
          <w:rFonts w:eastAsia="Calibri"/>
          <w:sz w:val="24"/>
          <w:szCs w:val="24"/>
          <w:lang w:val="en-US"/>
        </w:rPr>
        <w:t>p</w:t>
      </w:r>
      <w:r w:rsidRPr="008D67ED">
        <w:rPr>
          <w:rFonts w:eastAsia="Calibri"/>
          <w:sz w:val="24"/>
          <w:szCs w:val="24"/>
        </w:rPr>
        <w:t xml:space="preserve">18]. </w:t>
      </w:r>
    </w:p>
    <w:p w:rsidR="008D67ED" w:rsidRPr="008D67ED" w:rsidRDefault="008D67ED" w:rsidP="008D67ED">
      <w:pPr>
        <w:spacing w:after="0" w:line="240" w:lineRule="auto"/>
        <w:ind w:firstLine="709"/>
        <w:jc w:val="both"/>
        <w:rPr>
          <w:rFonts w:eastAsia="Calibri"/>
          <w:sz w:val="24"/>
          <w:szCs w:val="24"/>
          <w:lang w:val="en-US"/>
        </w:rPr>
      </w:pPr>
      <w:r w:rsidRPr="008D67ED">
        <w:rPr>
          <w:rFonts w:eastAsia="Calibri"/>
          <w:sz w:val="24"/>
          <w:szCs w:val="24"/>
          <w:shd w:val="clear" w:color="auto" w:fill="FFFFFF"/>
        </w:rPr>
        <w:t xml:space="preserve">Therefore, an effective way out for the implementation of the </w:t>
      </w:r>
      <w:r w:rsidRPr="008D67ED">
        <w:rPr>
          <w:rFonts w:eastAsia="Calibri"/>
          <w:sz w:val="24"/>
          <w:szCs w:val="24"/>
          <w:shd w:val="clear" w:color="auto" w:fill="FFFFFF"/>
          <w:lang w:val="en-US"/>
        </w:rPr>
        <w:t>PE</w:t>
      </w:r>
      <w:r w:rsidRPr="008D67ED">
        <w:rPr>
          <w:rFonts w:eastAsia="Calibri"/>
          <w:sz w:val="24"/>
          <w:szCs w:val="24"/>
          <w:shd w:val="clear" w:color="auto" w:fill="FFFFFF"/>
        </w:rPr>
        <w:t xml:space="preserve"> had to be sought elsewhere. </w:t>
      </w:r>
      <w:r w:rsidRPr="008D67ED">
        <w:rPr>
          <w:rFonts w:eastAsia="Calibri"/>
          <w:sz w:val="24"/>
          <w:szCs w:val="24"/>
          <w:shd w:val="clear" w:color="auto" w:fill="FFFFFF"/>
          <w:lang w:val="en-US"/>
        </w:rPr>
        <w:t>H. J</w:t>
      </w:r>
      <w:r w:rsidRPr="008D67ED">
        <w:rPr>
          <w:rFonts w:eastAsia="Calibri"/>
          <w:sz w:val="24"/>
          <w:szCs w:val="24"/>
          <w:shd w:val="clear" w:color="auto" w:fill="FFFFFF"/>
        </w:rPr>
        <w:t>ordan was one of the first in Poland to become an ardent supporter of the recreational and health</w:t>
      </w:r>
      <w:r w:rsidRPr="008D67ED">
        <w:rPr>
          <w:rFonts w:eastAsia="Calibri"/>
          <w:sz w:val="24"/>
          <w:szCs w:val="24"/>
          <w:shd w:val="clear" w:color="auto" w:fill="FFFFFF"/>
          <w:lang w:val="en-US"/>
        </w:rPr>
        <w:noBreakHyphen/>
      </w:r>
      <w:r w:rsidRPr="008D67ED">
        <w:rPr>
          <w:rFonts w:eastAsia="Calibri"/>
          <w:sz w:val="24"/>
          <w:szCs w:val="24"/>
          <w:shd w:val="clear" w:color="auto" w:fill="FFFFFF"/>
        </w:rPr>
        <w:t>improving movement: he tirelessly spread the idea of active leisure and promoted the need to create an appropriate recreational space for this</w:t>
      </w:r>
      <w:r w:rsidRPr="008D67ED">
        <w:rPr>
          <w:rFonts w:eastAsia="Calibri"/>
          <w:sz w:val="24"/>
          <w:szCs w:val="24"/>
          <w:shd w:val="clear" w:color="auto" w:fill="FFFFFF"/>
          <w:lang w:val="en-US"/>
        </w:rPr>
        <w:t xml:space="preserve"> </w:t>
      </w:r>
      <w:r w:rsidRPr="008D67ED">
        <w:rPr>
          <w:rFonts w:eastAsia="Calibri"/>
          <w:sz w:val="24"/>
          <w:szCs w:val="24"/>
          <w:shd w:val="clear" w:color="auto" w:fill="FFFFFF"/>
        </w:rPr>
        <w:t>[</w:t>
      </w:r>
      <w:r w:rsidRPr="008D67ED">
        <w:rPr>
          <w:rFonts w:eastAsia="Calibri"/>
          <w:sz w:val="24"/>
          <w:szCs w:val="24"/>
        </w:rPr>
        <w:t xml:space="preserve">5, </w:t>
      </w:r>
      <w:r w:rsidRPr="008D67ED">
        <w:rPr>
          <w:rFonts w:eastAsia="Calibri"/>
          <w:sz w:val="24"/>
          <w:szCs w:val="24"/>
          <w:lang w:val="en-US"/>
        </w:rPr>
        <w:t>p</w:t>
      </w:r>
      <w:r w:rsidRPr="008D67ED">
        <w:rPr>
          <w:rFonts w:eastAsia="Calibri"/>
          <w:sz w:val="24"/>
          <w:szCs w:val="24"/>
        </w:rPr>
        <w:t>121</w:t>
      </w:r>
      <w:r w:rsidRPr="008D67ED">
        <w:rPr>
          <w:rFonts w:eastAsia="Calibri"/>
          <w:sz w:val="24"/>
          <w:szCs w:val="24"/>
          <w:shd w:val="clear" w:color="auto" w:fill="FFFFFF"/>
        </w:rPr>
        <w:t xml:space="preserve">]. </w:t>
      </w:r>
      <w:r w:rsidRPr="008D67ED">
        <w:rPr>
          <w:rFonts w:eastAsia="Calibri"/>
          <w:sz w:val="24"/>
          <w:szCs w:val="24"/>
        </w:rPr>
        <w:t>Actually, the most important achievement of the figure's pedagogical work was the «pioneer» location called «City Park of Dr.</w:t>
      </w:r>
      <w:r w:rsidRPr="008D67ED">
        <w:rPr>
          <w:rFonts w:eastAsia="Calibri"/>
          <w:sz w:val="24"/>
          <w:szCs w:val="24"/>
          <w:lang w:val="en-US"/>
        </w:rPr>
        <w:t> </w:t>
      </w:r>
      <w:r w:rsidRPr="008D67ED">
        <w:rPr>
          <w:rFonts w:eastAsia="Calibri"/>
          <w:sz w:val="24"/>
          <w:szCs w:val="24"/>
        </w:rPr>
        <w:t xml:space="preserve">Henryk Jordan» (Polish: </w:t>
      </w:r>
      <w:r w:rsidRPr="008D67ED">
        <w:rPr>
          <w:rFonts w:eastAsia="Calibri"/>
          <w:i/>
          <w:sz w:val="24"/>
          <w:szCs w:val="24"/>
        </w:rPr>
        <w:t>«Park Miejski im. dra Henryka Jordana»</w:t>
      </w:r>
      <w:r w:rsidRPr="008D67ED">
        <w:rPr>
          <w:rFonts w:eastAsia="Calibri"/>
          <w:sz w:val="24"/>
          <w:szCs w:val="24"/>
        </w:rPr>
        <w:t xml:space="preserve">) in Krakow (hereinafter ‒ the Park): </w:t>
      </w:r>
      <w:r w:rsidRPr="008D67ED">
        <w:rPr>
          <w:rFonts w:eastAsia="Calibri"/>
          <w:sz w:val="24"/>
          <w:szCs w:val="24"/>
          <w:lang w:val="en-US"/>
        </w:rPr>
        <w:t>t</w:t>
      </w:r>
      <w:r w:rsidRPr="008D67ED">
        <w:rPr>
          <w:rFonts w:eastAsia="Calibri"/>
          <w:sz w:val="24"/>
          <w:szCs w:val="24"/>
        </w:rPr>
        <w:t>his most famous and longest</w:t>
      </w:r>
      <w:r w:rsidRPr="008D67ED">
        <w:rPr>
          <w:rFonts w:eastAsia="Calibri"/>
          <w:sz w:val="24"/>
          <w:szCs w:val="24"/>
          <w:lang w:val="en-US"/>
        </w:rPr>
        <w:t>-</w:t>
      </w:r>
      <w:r w:rsidRPr="008D67ED">
        <w:rPr>
          <w:rFonts w:eastAsia="Calibri"/>
          <w:sz w:val="24"/>
          <w:szCs w:val="24"/>
        </w:rPr>
        <w:t xml:space="preserve">lasting project of </w:t>
      </w:r>
      <w:r w:rsidRPr="008D67ED">
        <w:rPr>
          <w:rFonts w:eastAsia="Calibri"/>
          <w:sz w:val="24"/>
          <w:szCs w:val="24"/>
          <w:lang w:val="en-US"/>
        </w:rPr>
        <w:t>H. J</w:t>
      </w:r>
      <w:r w:rsidRPr="008D67ED">
        <w:rPr>
          <w:rFonts w:eastAsia="Calibri"/>
          <w:sz w:val="24"/>
          <w:szCs w:val="24"/>
        </w:rPr>
        <w:t>ordan became the first center of the «new physical education» in Europe at the end of the 19th century.</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rPr>
        <w:t>Using the latest trends in the sciences of education of the second half of the 19th century, adhering to the Polish traditions of the Pedagogical Institute, and relying on his own analysis of social needs in this area of work, the teacher developed an original and universal out</w:t>
      </w:r>
      <w:r w:rsidRPr="008D67ED">
        <w:rPr>
          <w:rFonts w:eastAsia="Calibri"/>
          <w:sz w:val="24"/>
          <w:szCs w:val="24"/>
          <w:lang w:val="en-US"/>
        </w:rPr>
        <w:t>-</w:t>
      </w:r>
      <w:r w:rsidRPr="008D67ED">
        <w:rPr>
          <w:rFonts w:eastAsia="Calibri"/>
          <w:sz w:val="24"/>
          <w:szCs w:val="24"/>
        </w:rPr>
        <w:t>of</w:t>
      </w:r>
      <w:r w:rsidRPr="008D67ED">
        <w:rPr>
          <w:rFonts w:eastAsia="Calibri"/>
          <w:sz w:val="24"/>
          <w:szCs w:val="24"/>
          <w:lang w:val="en-US"/>
        </w:rPr>
        <w:t xml:space="preserve"> </w:t>
      </w:r>
      <w:r w:rsidRPr="008D67ED">
        <w:rPr>
          <w:rFonts w:eastAsia="Calibri"/>
          <w:sz w:val="24"/>
          <w:szCs w:val="24"/>
        </w:rPr>
        <w:t>school educational system that was adapted to the difficult living conditions of young Poles «deprived of a free homeland» [</w:t>
      </w:r>
      <w:r w:rsidRPr="008D67ED">
        <w:rPr>
          <w:rFonts w:eastAsia="Calibri"/>
          <w:bCs/>
          <w:kern w:val="28"/>
          <w:sz w:val="24"/>
          <w:szCs w:val="24"/>
          <w:lang w:val="en-US"/>
        </w:rPr>
        <w:t>23</w:t>
      </w:r>
      <w:r w:rsidRPr="008D67ED">
        <w:rPr>
          <w:rFonts w:eastAsia="Calibri"/>
          <w:bCs/>
          <w:sz w:val="24"/>
          <w:szCs w:val="24"/>
        </w:rPr>
        <w:t>,</w:t>
      </w:r>
      <w:r w:rsidRPr="008D67ED">
        <w:rPr>
          <w:rFonts w:eastAsia="Calibri"/>
          <w:bCs/>
          <w:sz w:val="24"/>
          <w:szCs w:val="24"/>
          <w:lang w:val="en-US"/>
        </w:rPr>
        <w:t xml:space="preserve"> </w:t>
      </w:r>
      <w:r w:rsidRPr="008D67ED">
        <w:rPr>
          <w:rFonts w:eastAsia="Calibri"/>
          <w:bCs/>
          <w:sz w:val="24"/>
          <w:szCs w:val="24"/>
        </w:rPr>
        <w:t>р8</w:t>
      </w:r>
      <w:r w:rsidRPr="008D67ED">
        <w:rPr>
          <w:rFonts w:eastAsia="Calibri"/>
          <w:sz w:val="24"/>
          <w:szCs w:val="24"/>
        </w:rPr>
        <w:t>].</w:t>
      </w:r>
      <w:r w:rsidRPr="008D67ED">
        <w:rPr>
          <w:rFonts w:eastAsia="Calibri"/>
          <w:sz w:val="24"/>
          <w:szCs w:val="24"/>
          <w:shd w:val="clear" w:color="auto" w:fill="FFFFFF"/>
        </w:rPr>
        <w:t xml:space="preserve"> </w:t>
      </w:r>
      <w:r w:rsidRPr="008D67ED">
        <w:rPr>
          <w:rFonts w:eastAsia="Calibri"/>
          <w:sz w:val="24"/>
          <w:szCs w:val="24"/>
        </w:rPr>
        <w:t xml:space="preserve">The fundamental idea of this system, voiced by </w:t>
      </w:r>
      <w:r w:rsidRPr="008D67ED">
        <w:rPr>
          <w:rFonts w:eastAsia="Calibri"/>
          <w:sz w:val="24"/>
          <w:szCs w:val="24"/>
          <w:lang w:val="en-US"/>
        </w:rPr>
        <w:t>H. J</w:t>
      </w:r>
      <w:r w:rsidRPr="008D67ED">
        <w:rPr>
          <w:rFonts w:eastAsia="Calibri"/>
          <w:sz w:val="24"/>
          <w:szCs w:val="24"/>
        </w:rPr>
        <w:t>ordan himself in 1891 in a speech in the hall of the «Sokil» society in Lviv, was to actively involve the means of physical education to form the health, physical strength, energy, courage and bravery of Polish youth, which, in turn, was supposed to strengthen «the foundation of the power and glory of the Polish people for the homeland of the future» [</w:t>
      </w:r>
      <w:r w:rsidRPr="008D67ED">
        <w:rPr>
          <w:rFonts w:eastAsia="Calibri"/>
          <w:bCs/>
          <w:kern w:val="28"/>
          <w:sz w:val="24"/>
          <w:szCs w:val="24"/>
          <w:lang w:val="en-US"/>
        </w:rPr>
        <w:t>26</w:t>
      </w:r>
      <w:r w:rsidRPr="008D67ED">
        <w:rPr>
          <w:rFonts w:eastAsia="Calibri"/>
          <w:sz w:val="24"/>
          <w:szCs w:val="24"/>
        </w:rPr>
        <w:t>,</w:t>
      </w:r>
      <w:r w:rsidRPr="008D67ED">
        <w:rPr>
          <w:rFonts w:eastAsia="Calibri"/>
          <w:sz w:val="24"/>
          <w:szCs w:val="24"/>
          <w:lang w:val="en-US"/>
        </w:rPr>
        <w:t xml:space="preserve"> </w:t>
      </w:r>
      <w:r w:rsidRPr="008D67ED">
        <w:rPr>
          <w:rFonts w:eastAsia="Calibri"/>
          <w:sz w:val="24"/>
          <w:szCs w:val="24"/>
        </w:rPr>
        <w:t>р5-7].</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shd w:val="clear" w:color="auto" w:fill="FFFFFF"/>
        </w:rPr>
        <w:t xml:space="preserve">So, in 1888, </w:t>
      </w:r>
      <w:r w:rsidRPr="008D67ED">
        <w:rPr>
          <w:rFonts w:eastAsia="Calibri"/>
          <w:sz w:val="24"/>
          <w:szCs w:val="24"/>
          <w:shd w:val="clear" w:color="auto" w:fill="FFFFFF"/>
          <w:lang w:val="en-US"/>
        </w:rPr>
        <w:t>H. J</w:t>
      </w:r>
      <w:r w:rsidRPr="008D67ED">
        <w:rPr>
          <w:rFonts w:eastAsia="Calibri"/>
          <w:sz w:val="24"/>
          <w:szCs w:val="24"/>
          <w:shd w:val="clear" w:color="auto" w:fill="FFFFFF"/>
        </w:rPr>
        <w:t xml:space="preserve">ordan appealed to the City Council of Krakow with a request to rent a plot of land located in Krakow Błonia (Polish: </w:t>
      </w:r>
      <w:r w:rsidRPr="008D67ED">
        <w:rPr>
          <w:rFonts w:eastAsia="Calibri"/>
          <w:i/>
          <w:sz w:val="24"/>
          <w:szCs w:val="24"/>
          <w:shd w:val="clear" w:color="auto" w:fill="FFFFFF"/>
        </w:rPr>
        <w:t>Błonia Krakowskie</w:t>
      </w:r>
      <w:r w:rsidRPr="008D67ED">
        <w:rPr>
          <w:rFonts w:eastAsia="Calibri"/>
          <w:sz w:val="24"/>
          <w:szCs w:val="24"/>
          <w:shd w:val="clear" w:color="auto" w:fill="FFFFFF"/>
        </w:rPr>
        <w:t>) to implement his idea</w:t>
      </w:r>
      <w:r w:rsidRPr="008D67ED">
        <w:rPr>
          <w:rFonts w:eastAsia="Calibri"/>
          <w:sz w:val="24"/>
          <w:szCs w:val="24"/>
          <w:shd w:val="clear" w:color="auto" w:fill="FFFFFF"/>
          <w:lang w:val="en-US"/>
        </w:rPr>
        <w:t xml:space="preserve"> </w:t>
      </w:r>
      <w:r w:rsidRPr="008D67ED">
        <w:rPr>
          <w:rFonts w:eastAsia="Calibri"/>
          <w:sz w:val="24"/>
          <w:szCs w:val="24"/>
          <w:shd w:val="clear" w:color="auto" w:fill="FFFFFF"/>
        </w:rPr>
        <w:t>[</w:t>
      </w:r>
      <w:r w:rsidRPr="008D67ED">
        <w:rPr>
          <w:rFonts w:eastAsia="Calibri"/>
          <w:bCs/>
          <w:kern w:val="28"/>
          <w:sz w:val="24"/>
          <w:szCs w:val="24"/>
        </w:rPr>
        <w:t>1</w:t>
      </w:r>
      <w:r w:rsidRPr="008D67ED">
        <w:rPr>
          <w:rFonts w:eastAsia="Calibri"/>
          <w:bCs/>
          <w:kern w:val="28"/>
          <w:sz w:val="24"/>
          <w:szCs w:val="24"/>
          <w:lang w:val="en-US"/>
        </w:rPr>
        <w:t>4</w:t>
      </w:r>
      <w:r w:rsidRPr="008D67ED">
        <w:rPr>
          <w:rFonts w:eastAsia="Calibri"/>
          <w:sz w:val="24"/>
          <w:szCs w:val="24"/>
          <w:shd w:val="clear" w:color="auto" w:fill="FFFFFF"/>
        </w:rPr>
        <w:t>,</w:t>
      </w:r>
      <w:r w:rsidRPr="008D67ED">
        <w:rPr>
          <w:rFonts w:eastAsia="Calibri"/>
          <w:sz w:val="24"/>
          <w:szCs w:val="24"/>
          <w:shd w:val="clear" w:color="auto" w:fill="FFFFFF"/>
          <w:lang w:val="en-US"/>
        </w:rPr>
        <w:t xml:space="preserve"> p</w:t>
      </w:r>
      <w:r w:rsidRPr="008D67ED">
        <w:rPr>
          <w:rFonts w:eastAsia="Calibri"/>
          <w:sz w:val="24"/>
          <w:szCs w:val="24"/>
          <w:shd w:val="clear" w:color="auto" w:fill="FFFFFF"/>
        </w:rPr>
        <w:t>504]. The multifunctional location, opened a year later, housed 12</w:t>
      </w:r>
      <w:r w:rsidRPr="008D67ED">
        <w:rPr>
          <w:rFonts w:eastAsia="Calibri"/>
          <w:sz w:val="24"/>
          <w:szCs w:val="24"/>
          <w:shd w:val="clear" w:color="auto" w:fill="FFFFFF"/>
          <w:lang w:val="en-US"/>
        </w:rPr>
        <w:t> </w:t>
      </w:r>
      <w:r w:rsidRPr="008D67ED">
        <w:rPr>
          <w:rFonts w:eastAsia="Calibri"/>
          <w:sz w:val="24"/>
          <w:szCs w:val="24"/>
          <w:shd w:val="clear" w:color="auto" w:fill="FFFFFF"/>
        </w:rPr>
        <w:t xml:space="preserve">sports fields, each of which had a different purpose and was equipped with the most modern equipment at the time. </w:t>
      </w:r>
      <w:r w:rsidRPr="008D67ED">
        <w:rPr>
          <w:rFonts w:eastAsia="Calibri"/>
          <w:sz w:val="24"/>
          <w:szCs w:val="24"/>
        </w:rPr>
        <w:t>In addition, the park housed tennis and cricket courts, a shooting range, a milk-drinking area, a sanitary pavilion, gazebos for singing and music lessons, baths with showers built to develop hygiene skills in the Park’s residents, special covered areas in case of rain or snow, park alleys, and more [</w:t>
      </w:r>
      <w:r w:rsidRPr="008D67ED">
        <w:rPr>
          <w:rFonts w:eastAsia="Calibri"/>
          <w:kern w:val="28"/>
          <w:sz w:val="24"/>
          <w:szCs w:val="24"/>
          <w:lang w:val="en-US"/>
        </w:rPr>
        <w:t>19</w:t>
      </w:r>
      <w:r w:rsidRPr="008D67ED">
        <w:rPr>
          <w:sz w:val="24"/>
          <w:szCs w:val="24"/>
          <w:lang w:eastAsia="ru-RU"/>
        </w:rPr>
        <w:t>,</w:t>
      </w:r>
      <w:r w:rsidRPr="008D67ED">
        <w:rPr>
          <w:sz w:val="24"/>
          <w:szCs w:val="24"/>
          <w:lang w:val="en-US" w:eastAsia="ru-RU"/>
        </w:rPr>
        <w:t xml:space="preserve"> p</w:t>
      </w:r>
      <w:r w:rsidRPr="008D67ED">
        <w:rPr>
          <w:sz w:val="24"/>
          <w:szCs w:val="24"/>
          <w:lang w:eastAsia="ru-RU"/>
        </w:rPr>
        <w:t>15</w:t>
      </w:r>
      <w:r w:rsidRPr="008D67ED">
        <w:rPr>
          <w:rFonts w:eastAsia="Calibri"/>
          <w:sz w:val="24"/>
          <w:szCs w:val="24"/>
        </w:rPr>
        <w:t xml:space="preserve">]. </w:t>
      </w:r>
      <w:r w:rsidRPr="008D67ED">
        <w:rPr>
          <w:rFonts w:eastAsia="Calibri"/>
          <w:sz w:val="24"/>
          <w:szCs w:val="24"/>
          <w:lang w:val="pl-PL"/>
        </w:rPr>
        <w:t>In winter, an ice rink was organized in the territory of «Jordan’s Park» [</w:t>
      </w:r>
      <w:r w:rsidRPr="008D67ED">
        <w:rPr>
          <w:rFonts w:eastAsia="Calibri"/>
          <w:bCs/>
          <w:kern w:val="28"/>
          <w:sz w:val="24"/>
          <w:szCs w:val="24"/>
        </w:rPr>
        <w:t>1</w:t>
      </w:r>
      <w:r w:rsidRPr="008D67ED">
        <w:rPr>
          <w:rFonts w:eastAsia="Calibri"/>
          <w:bCs/>
          <w:kern w:val="28"/>
          <w:sz w:val="24"/>
          <w:szCs w:val="24"/>
          <w:lang w:val="en-US"/>
        </w:rPr>
        <w:t>8</w:t>
      </w:r>
      <w:r w:rsidRPr="008D67ED">
        <w:rPr>
          <w:rFonts w:eastAsia="Calibri"/>
          <w:bCs/>
          <w:sz w:val="24"/>
          <w:szCs w:val="24"/>
        </w:rPr>
        <w:t>,</w:t>
      </w:r>
      <w:r w:rsidRPr="008D67ED">
        <w:rPr>
          <w:rFonts w:eastAsia="Calibri"/>
          <w:bCs/>
          <w:sz w:val="24"/>
          <w:szCs w:val="24"/>
          <w:lang w:val="en-US"/>
        </w:rPr>
        <w:t xml:space="preserve"> p</w:t>
      </w:r>
      <w:r w:rsidRPr="008D67ED">
        <w:rPr>
          <w:rFonts w:eastAsia="Calibri"/>
          <w:bCs/>
          <w:sz w:val="24"/>
          <w:szCs w:val="24"/>
        </w:rPr>
        <w:t>20</w:t>
      </w:r>
      <w:r w:rsidRPr="008D67ED">
        <w:rPr>
          <w:rFonts w:eastAsia="Calibri"/>
          <w:sz w:val="24"/>
          <w:szCs w:val="24"/>
          <w:lang w:val="pl-PL"/>
        </w:rPr>
        <w:t>]</w:t>
      </w:r>
      <w:r w:rsidRPr="008D67ED">
        <w:rPr>
          <w:rFonts w:eastAsia="Calibri"/>
          <w:sz w:val="24"/>
          <w:szCs w:val="24"/>
        </w:rPr>
        <w:t>.</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lang w:val="en-US"/>
        </w:rPr>
        <w:t>H. J</w:t>
      </w:r>
      <w:r w:rsidRPr="008D67ED">
        <w:rPr>
          <w:rFonts w:eastAsia="Calibri"/>
          <w:sz w:val="24"/>
          <w:szCs w:val="24"/>
        </w:rPr>
        <w:t>ordan’s strategically well-thought-out algorithm for implementing his project was commendable: his first «step» was special training sessions for «guides» ‒ organizers of games and entertainment in the Park ‒ organized for teachers of public schools, members of the «Sokil» society, students, doctors, and senior high school students</w:t>
      </w:r>
      <w:r w:rsidRPr="008D67ED">
        <w:rPr>
          <w:rFonts w:eastAsia="Calibri"/>
          <w:sz w:val="24"/>
          <w:szCs w:val="24"/>
          <w:lang w:val="en-US"/>
        </w:rPr>
        <w:t xml:space="preserve"> </w:t>
      </w:r>
      <w:r w:rsidRPr="008D67ED">
        <w:rPr>
          <w:rFonts w:eastAsia="Calibri"/>
          <w:sz w:val="24"/>
          <w:szCs w:val="24"/>
        </w:rPr>
        <w:t>[</w:t>
      </w:r>
      <w:r w:rsidRPr="008D67ED">
        <w:rPr>
          <w:rFonts w:eastAsia="TimesNewRomanPSMT"/>
          <w:kern w:val="28"/>
          <w:sz w:val="24"/>
          <w:szCs w:val="24"/>
          <w:lang w:val="en-US"/>
        </w:rPr>
        <w:t>24</w:t>
      </w:r>
      <w:r w:rsidRPr="008D67ED">
        <w:rPr>
          <w:sz w:val="24"/>
          <w:szCs w:val="24"/>
          <w:lang w:eastAsia="ru-RU"/>
        </w:rPr>
        <w:t>, р25].</w:t>
      </w:r>
      <w:r w:rsidRPr="008D67ED">
        <w:rPr>
          <w:rFonts w:eastAsia="Calibri"/>
          <w:sz w:val="24"/>
          <w:szCs w:val="24"/>
        </w:rPr>
        <w:t xml:space="preserve"> </w:t>
      </w:r>
      <w:r w:rsidRPr="008D67ED">
        <w:rPr>
          <w:rFonts w:eastAsia="Calibri"/>
          <w:bCs/>
          <w:sz w:val="24"/>
          <w:szCs w:val="24"/>
        </w:rPr>
        <w:t>Thanks to the appropriate content of this training, which was constantly improved, all graduates of the courses successfully worked not only on «park» playgrounds, but also as physical education teachers in public schools</w:t>
      </w:r>
      <w:r w:rsidRPr="008D67ED">
        <w:rPr>
          <w:rFonts w:eastAsia="Calibri"/>
          <w:bCs/>
          <w:sz w:val="24"/>
          <w:szCs w:val="24"/>
          <w:lang w:val="en-US"/>
        </w:rPr>
        <w:t xml:space="preserve"> </w:t>
      </w:r>
      <w:r w:rsidRPr="008D67ED">
        <w:rPr>
          <w:rFonts w:eastAsia="Calibri"/>
          <w:bCs/>
          <w:sz w:val="24"/>
          <w:szCs w:val="24"/>
        </w:rPr>
        <w:t>[</w:t>
      </w:r>
      <w:r w:rsidRPr="008D67ED">
        <w:rPr>
          <w:rFonts w:eastAsia="Calibri"/>
          <w:kern w:val="28"/>
          <w:sz w:val="24"/>
          <w:szCs w:val="24"/>
        </w:rPr>
        <w:t>1</w:t>
      </w:r>
      <w:r w:rsidRPr="008D67ED">
        <w:rPr>
          <w:rFonts w:eastAsia="Calibri"/>
          <w:kern w:val="28"/>
          <w:sz w:val="24"/>
          <w:szCs w:val="24"/>
          <w:lang w:val="en-US"/>
        </w:rPr>
        <w:t>5</w:t>
      </w:r>
      <w:r w:rsidRPr="008D67ED">
        <w:rPr>
          <w:rFonts w:eastAsia="Calibri"/>
          <w:bCs/>
          <w:sz w:val="24"/>
          <w:szCs w:val="24"/>
        </w:rPr>
        <w:t xml:space="preserve">, р27]. </w:t>
      </w:r>
    </w:p>
    <w:p w:rsidR="008D67ED" w:rsidRPr="008D67ED" w:rsidRDefault="008D67ED" w:rsidP="008D67ED">
      <w:pPr>
        <w:spacing w:after="0" w:line="240" w:lineRule="auto"/>
        <w:ind w:firstLine="709"/>
        <w:jc w:val="both"/>
        <w:rPr>
          <w:sz w:val="24"/>
          <w:szCs w:val="24"/>
          <w:lang w:eastAsia="uk-UA"/>
        </w:rPr>
      </w:pPr>
      <w:r w:rsidRPr="008D67ED">
        <w:rPr>
          <w:sz w:val="24"/>
          <w:szCs w:val="24"/>
          <w:lang w:eastAsia="uk-UA"/>
        </w:rPr>
        <w:t>A positive component of the Park's operating system was its reliance on a well-thought-out didactic concept.</w:t>
      </w:r>
      <w:r w:rsidRPr="008D67ED">
        <w:rPr>
          <w:sz w:val="24"/>
          <w:szCs w:val="24"/>
          <w:lang w:val="en-US" w:eastAsia="uk-UA"/>
        </w:rPr>
        <w:t xml:space="preserve"> </w:t>
      </w:r>
      <w:r w:rsidRPr="008D67ED">
        <w:rPr>
          <w:sz w:val="24"/>
          <w:szCs w:val="24"/>
          <w:lang w:eastAsia="uk-UA"/>
        </w:rPr>
        <w:t xml:space="preserve">This primarily means that the scenarios for «park» activities were developed for all days of the week and were adjusted to the age and abilities of the students who visited a particular location in the </w:t>
      </w:r>
      <w:r w:rsidRPr="008D67ED">
        <w:rPr>
          <w:sz w:val="24"/>
          <w:szCs w:val="24"/>
          <w:lang w:val="en-US" w:eastAsia="uk-UA"/>
        </w:rPr>
        <w:t>P</w:t>
      </w:r>
      <w:r w:rsidRPr="008D67ED">
        <w:rPr>
          <w:sz w:val="24"/>
          <w:szCs w:val="24"/>
          <w:lang w:eastAsia="uk-UA"/>
        </w:rPr>
        <w:t>ark.</w:t>
      </w:r>
      <w:r w:rsidRPr="008D67ED">
        <w:rPr>
          <w:sz w:val="24"/>
          <w:szCs w:val="24"/>
          <w:lang w:val="en-US" w:eastAsia="uk-UA"/>
        </w:rPr>
        <w:t xml:space="preserve"> </w:t>
      </w:r>
      <w:r w:rsidRPr="008D67ED">
        <w:rPr>
          <w:sz w:val="24"/>
          <w:szCs w:val="24"/>
          <w:lang w:eastAsia="uk-UA"/>
        </w:rPr>
        <w:t>An important component of the content of classes in the Park were group outdoor games and fun</w:t>
      </w:r>
      <w:r w:rsidRPr="008D67ED">
        <w:rPr>
          <w:sz w:val="24"/>
          <w:szCs w:val="24"/>
          <w:lang w:val="en-US" w:eastAsia="uk-UA"/>
        </w:rPr>
        <w:t xml:space="preserve"> </w:t>
      </w:r>
      <w:r w:rsidRPr="008D67ED">
        <w:rPr>
          <w:sz w:val="24"/>
          <w:szCs w:val="24"/>
          <w:lang w:eastAsia="uk-UA"/>
        </w:rPr>
        <w:t>[</w:t>
      </w:r>
      <w:r w:rsidRPr="008D67ED">
        <w:rPr>
          <w:kern w:val="28"/>
          <w:sz w:val="24"/>
          <w:szCs w:val="24"/>
          <w:lang w:val="en-US" w:eastAsia="uk-UA"/>
        </w:rPr>
        <w:t>19</w:t>
      </w:r>
      <w:r w:rsidRPr="008D67ED">
        <w:rPr>
          <w:sz w:val="24"/>
          <w:szCs w:val="24"/>
          <w:lang w:eastAsia="ru-RU"/>
        </w:rPr>
        <w:t>,</w:t>
      </w:r>
      <w:r w:rsidRPr="008D67ED">
        <w:rPr>
          <w:sz w:val="24"/>
          <w:szCs w:val="24"/>
          <w:lang w:val="en-US" w:eastAsia="ru-RU"/>
        </w:rPr>
        <w:t xml:space="preserve"> </w:t>
      </w:r>
      <w:r w:rsidRPr="008D67ED">
        <w:rPr>
          <w:sz w:val="24"/>
          <w:szCs w:val="24"/>
          <w:lang w:eastAsia="ru-RU"/>
        </w:rPr>
        <w:t>р15]</w:t>
      </w:r>
      <w:r w:rsidRPr="008D67ED">
        <w:rPr>
          <w:sz w:val="24"/>
          <w:szCs w:val="24"/>
          <w:lang w:eastAsia="uk-UA"/>
        </w:rPr>
        <w:t>. The scientist noted their importance, for example, in his report, and later in his work «On the Entertainments of Youth»:</w:t>
      </w:r>
      <w:r w:rsidRPr="008D67ED">
        <w:rPr>
          <w:sz w:val="24"/>
          <w:szCs w:val="24"/>
          <w:lang w:val="en-US" w:eastAsia="uk-UA"/>
        </w:rPr>
        <w:t xml:space="preserve"> </w:t>
      </w:r>
      <w:r w:rsidRPr="008D67ED">
        <w:rPr>
          <w:sz w:val="24"/>
          <w:szCs w:val="24"/>
          <w:lang w:eastAsia="uk-UA"/>
        </w:rPr>
        <w:t>considered these means of physical education in two planes ‒ health and educational; wrote that the efforts made by the participant during an outdoor game strengthen the body, temper it, add strength and improve the figure (</w:t>
      </w:r>
      <w:r w:rsidRPr="008D67ED">
        <w:rPr>
          <w:i/>
          <w:sz w:val="24"/>
          <w:szCs w:val="24"/>
          <w:lang w:eastAsia="uk-UA"/>
        </w:rPr>
        <w:t>generalized by</w:t>
      </w:r>
      <w:r w:rsidRPr="008D67ED">
        <w:rPr>
          <w:sz w:val="24"/>
          <w:szCs w:val="24"/>
          <w:lang w:eastAsia="uk-UA"/>
        </w:rPr>
        <w:t>: [</w:t>
      </w:r>
      <w:r w:rsidRPr="008D67ED">
        <w:rPr>
          <w:rFonts w:eastAsia="TimesNewRomanPSMT"/>
          <w:kern w:val="28"/>
          <w:sz w:val="24"/>
          <w:szCs w:val="24"/>
          <w:lang w:val="en-US" w:eastAsia="uk-UA"/>
        </w:rPr>
        <w:t>24</w:t>
      </w:r>
      <w:r w:rsidRPr="008D67ED">
        <w:rPr>
          <w:rFonts w:eastAsia="TimesNewRomanPSMT"/>
          <w:sz w:val="24"/>
          <w:szCs w:val="24"/>
          <w:lang w:eastAsia="uk-UA"/>
        </w:rPr>
        <w:t>, р40</w:t>
      </w:r>
      <w:r w:rsidRPr="008D67ED">
        <w:rPr>
          <w:sz w:val="24"/>
          <w:szCs w:val="24"/>
          <w:lang w:eastAsia="uk-UA"/>
        </w:rPr>
        <w:t xml:space="preserve">]), that games and fun contribute to the realization of a child’s natural need for physical activity, help the body «tired» by work and the mind «tired» by learning to rest, and the soul to have fun </w:t>
      </w:r>
      <w:r w:rsidRPr="008D67ED">
        <w:rPr>
          <w:rFonts w:eastAsia="TimesNewRomanPSMT"/>
          <w:sz w:val="24"/>
          <w:szCs w:val="24"/>
          <w:lang w:val="pl-PL" w:eastAsia="uk-UA"/>
        </w:rPr>
        <w:t>[</w:t>
      </w:r>
      <w:r w:rsidRPr="008D67ED">
        <w:rPr>
          <w:bCs/>
          <w:kern w:val="28"/>
          <w:sz w:val="24"/>
          <w:szCs w:val="24"/>
          <w:lang w:val="en-US" w:eastAsia="uk-UA"/>
        </w:rPr>
        <w:t>26</w:t>
      </w:r>
      <w:r w:rsidRPr="008D67ED">
        <w:rPr>
          <w:rFonts w:eastAsia="TimesNewRomanPSMT"/>
          <w:sz w:val="24"/>
          <w:szCs w:val="24"/>
          <w:lang w:eastAsia="uk-UA"/>
        </w:rPr>
        <w:t>, р2</w:t>
      </w:r>
      <w:r w:rsidRPr="008D67ED">
        <w:rPr>
          <w:sz w:val="24"/>
          <w:szCs w:val="24"/>
          <w:lang w:eastAsia="uk-UA"/>
        </w:rPr>
        <w:t>].</w:t>
      </w:r>
      <w:r w:rsidRPr="008D67ED">
        <w:rPr>
          <w:sz w:val="24"/>
          <w:szCs w:val="24"/>
          <w:lang w:val="en-US" w:eastAsia="uk-UA"/>
        </w:rPr>
        <w:t xml:space="preserve"> </w:t>
      </w:r>
      <w:r w:rsidRPr="008D67ED">
        <w:rPr>
          <w:sz w:val="24"/>
          <w:szCs w:val="24"/>
          <w:lang w:eastAsia="uk-UA"/>
        </w:rPr>
        <w:t xml:space="preserve">According to the teacher, after long, «lively» fun, young people return to «serious» work without coercion, and therefore, timely and appropriately organized outdoor play, which helps keep the body healthy, the mind fresh, and the soul in harmony with a healthy body, is a </w:t>
      </w:r>
      <w:r w:rsidRPr="008D67ED">
        <w:rPr>
          <w:sz w:val="24"/>
          <w:szCs w:val="24"/>
          <w:lang w:eastAsia="uk-UA"/>
        </w:rPr>
        <w:lastRenderedPageBreak/>
        <w:t>necessary condition for the good fulfillment of the «higher» tasks of life. In addition, according to the scientist, fun forms of education contribute to the development of necessary life skills and personality traits, such as: quick orientation, independence, endurance, self-control, the ability to win and lose, to obey, to express one’s thoughts and ideas, etc. (</w:t>
      </w:r>
      <w:r w:rsidRPr="008D67ED">
        <w:rPr>
          <w:color w:val="1F1F1F"/>
          <w:sz w:val="24"/>
          <w:szCs w:val="24"/>
          <w:lang w:eastAsia="uk-UA"/>
        </w:rPr>
        <w:t>summarized by</w:t>
      </w:r>
      <w:r w:rsidRPr="008D67ED">
        <w:rPr>
          <w:sz w:val="24"/>
          <w:szCs w:val="24"/>
          <w:lang w:eastAsia="uk-UA"/>
        </w:rPr>
        <w:t>: [</w:t>
      </w:r>
      <w:r w:rsidRPr="008D67ED">
        <w:rPr>
          <w:rFonts w:eastAsia="TimesNewRomanPSMT"/>
          <w:kern w:val="28"/>
          <w:sz w:val="24"/>
          <w:szCs w:val="24"/>
          <w:lang w:val="en-US" w:eastAsia="uk-UA"/>
        </w:rPr>
        <w:t>22</w:t>
      </w:r>
      <w:r w:rsidRPr="008D67ED">
        <w:rPr>
          <w:sz w:val="24"/>
          <w:szCs w:val="24"/>
          <w:lang w:eastAsia="uk-UA"/>
        </w:rPr>
        <w:t xml:space="preserve">, р30]). </w:t>
      </w:r>
    </w:p>
    <w:p w:rsidR="008D67ED" w:rsidRPr="008D67ED" w:rsidRDefault="008D67ED" w:rsidP="008D67ED">
      <w:pPr>
        <w:spacing w:after="0" w:line="240" w:lineRule="auto"/>
        <w:ind w:firstLine="709"/>
        <w:jc w:val="both"/>
        <w:rPr>
          <w:rFonts w:eastAsia="Calibri"/>
          <w:sz w:val="24"/>
          <w:szCs w:val="24"/>
          <w:lang w:val="en-US"/>
        </w:rPr>
      </w:pPr>
      <w:r w:rsidRPr="008D67ED">
        <w:rPr>
          <w:rFonts w:eastAsia="Calibri"/>
          <w:sz w:val="24"/>
          <w:szCs w:val="24"/>
        </w:rPr>
        <w:t xml:space="preserve">It should also be noted that the children of the </w:t>
      </w:r>
      <w:r w:rsidRPr="008D67ED">
        <w:rPr>
          <w:rFonts w:eastAsia="Calibri"/>
          <w:sz w:val="24"/>
          <w:szCs w:val="24"/>
          <w:lang w:val="en-US"/>
        </w:rPr>
        <w:t>J</w:t>
      </w:r>
      <w:r w:rsidRPr="008D67ED">
        <w:rPr>
          <w:rFonts w:eastAsia="Calibri"/>
          <w:sz w:val="24"/>
          <w:szCs w:val="24"/>
        </w:rPr>
        <w:t>ordan’</w:t>
      </w:r>
      <w:r w:rsidRPr="008D67ED">
        <w:rPr>
          <w:rFonts w:eastAsia="Calibri"/>
          <w:sz w:val="24"/>
          <w:szCs w:val="24"/>
          <w:lang w:val="en-US"/>
        </w:rPr>
        <w:t>s</w:t>
      </w:r>
      <w:r w:rsidRPr="008D67ED">
        <w:rPr>
          <w:rFonts w:eastAsia="Calibri"/>
          <w:sz w:val="24"/>
          <w:szCs w:val="24"/>
        </w:rPr>
        <w:t xml:space="preserve"> Park were under constant medical supervision</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20</w:t>
      </w:r>
      <w:r w:rsidRPr="008D67ED">
        <w:rPr>
          <w:rFonts w:eastAsia="Calibri"/>
          <w:sz w:val="24"/>
          <w:szCs w:val="24"/>
        </w:rPr>
        <w:t>, р811].</w:t>
      </w:r>
    </w:p>
    <w:p w:rsidR="008D67ED" w:rsidRPr="008D67ED" w:rsidRDefault="008D67ED" w:rsidP="008D67ED">
      <w:pPr>
        <w:spacing w:after="0" w:line="240" w:lineRule="auto"/>
        <w:ind w:firstLine="709"/>
        <w:jc w:val="both"/>
        <w:rPr>
          <w:color w:val="000000"/>
          <w:sz w:val="24"/>
          <w:szCs w:val="24"/>
          <w:lang w:val="en-US"/>
        </w:rPr>
      </w:pPr>
      <w:r w:rsidRPr="008D67ED">
        <w:rPr>
          <w:color w:val="000000"/>
          <w:sz w:val="24"/>
          <w:szCs w:val="24"/>
        </w:rPr>
        <w:t xml:space="preserve">By the way, </w:t>
      </w:r>
      <w:r w:rsidRPr="008D67ED">
        <w:rPr>
          <w:color w:val="000000"/>
          <w:sz w:val="24"/>
          <w:szCs w:val="24"/>
          <w:lang w:val="en-US"/>
        </w:rPr>
        <w:t>H. </w:t>
      </w:r>
      <w:r w:rsidRPr="008D67ED">
        <w:rPr>
          <w:color w:val="000000"/>
          <w:sz w:val="24"/>
          <w:szCs w:val="24"/>
        </w:rPr>
        <w:t>Jordan actively popularized football: this game became very popular in the world. In fact, the first case of playing football in Poland in 1886 is associated with Jordan’s name.</w:t>
      </w:r>
    </w:p>
    <w:p w:rsidR="008D67ED" w:rsidRPr="008D67ED" w:rsidRDefault="008D67ED" w:rsidP="008D67ED">
      <w:pPr>
        <w:spacing w:after="0" w:line="240" w:lineRule="auto"/>
        <w:ind w:firstLine="709"/>
        <w:jc w:val="both"/>
        <w:rPr>
          <w:color w:val="000000"/>
          <w:sz w:val="24"/>
          <w:szCs w:val="24"/>
          <w:lang w:val="en-US"/>
        </w:rPr>
      </w:pPr>
      <w:r w:rsidRPr="008D67ED">
        <w:rPr>
          <w:rFonts w:eastAsia="Calibri"/>
          <w:sz w:val="24"/>
          <w:szCs w:val="24"/>
        </w:rPr>
        <w:t>In a short time, the Jordan’</w:t>
      </w:r>
      <w:r w:rsidRPr="008D67ED">
        <w:rPr>
          <w:rFonts w:eastAsia="Calibri"/>
          <w:sz w:val="24"/>
          <w:szCs w:val="24"/>
          <w:lang w:val="en-US"/>
        </w:rPr>
        <w:t>s</w:t>
      </w:r>
      <w:r w:rsidRPr="008D67ED">
        <w:rPr>
          <w:rFonts w:eastAsia="Calibri"/>
          <w:sz w:val="24"/>
          <w:szCs w:val="24"/>
        </w:rPr>
        <w:t xml:space="preserve"> center became a very popular recreation place for children and youth. Classes lasted from 17</w:t>
      </w:r>
      <w:r w:rsidRPr="008D67ED">
        <w:rPr>
          <w:rFonts w:eastAsia="Calibri"/>
          <w:sz w:val="24"/>
          <w:szCs w:val="24"/>
          <w:vertAlign w:val="superscript"/>
        </w:rPr>
        <w:t>30</w:t>
      </w:r>
      <w:r w:rsidRPr="008D67ED">
        <w:rPr>
          <w:rFonts w:eastAsia="Calibri"/>
          <w:sz w:val="24"/>
          <w:szCs w:val="24"/>
        </w:rPr>
        <w:t xml:space="preserve"> to 19</w:t>
      </w:r>
      <w:r w:rsidRPr="008D67ED">
        <w:rPr>
          <w:rFonts w:eastAsia="Calibri"/>
          <w:sz w:val="24"/>
          <w:szCs w:val="24"/>
          <w:vertAlign w:val="superscript"/>
        </w:rPr>
        <w:t>00</w:t>
      </w:r>
      <w:r w:rsidRPr="008D67ED">
        <w:rPr>
          <w:rFonts w:eastAsia="Calibri"/>
          <w:sz w:val="24"/>
          <w:szCs w:val="24"/>
        </w:rPr>
        <w:t xml:space="preserve"> all year round. The Park received up to 500 people daily, and up to 1,200 people on Sundays and holidays</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7</w:t>
      </w:r>
      <w:r w:rsidRPr="008D67ED">
        <w:rPr>
          <w:rFonts w:eastAsia="Calibri"/>
          <w:sz w:val="24"/>
          <w:szCs w:val="24"/>
        </w:rPr>
        <w:t>, р41]. For example, the total number of young visitors who exercised in the park for free during 1891 was almost 13,000 people, during 1901 ‒ about 32,000 people, and in 1904 the number of Park residents increased to 50,000 people</w:t>
      </w:r>
      <w:r w:rsidRPr="008D67ED">
        <w:rPr>
          <w:rFonts w:eastAsia="Calibri"/>
          <w:sz w:val="24"/>
          <w:szCs w:val="24"/>
          <w:lang w:val="en-US"/>
        </w:rPr>
        <w:t xml:space="preserve"> </w:t>
      </w:r>
      <w:r w:rsidRPr="008D67ED">
        <w:rPr>
          <w:rFonts w:eastAsia="Calibri"/>
          <w:sz w:val="24"/>
          <w:szCs w:val="24"/>
        </w:rPr>
        <w:t>[</w:t>
      </w:r>
      <w:r w:rsidRPr="008D67ED">
        <w:rPr>
          <w:rFonts w:eastAsia="Calibri"/>
          <w:kern w:val="28"/>
          <w:sz w:val="24"/>
          <w:szCs w:val="24"/>
          <w:lang w:val="en-US"/>
        </w:rPr>
        <w:t>19</w:t>
      </w:r>
      <w:r w:rsidRPr="008D67ED">
        <w:rPr>
          <w:sz w:val="24"/>
          <w:szCs w:val="24"/>
          <w:lang w:eastAsia="ru-RU"/>
        </w:rPr>
        <w:t>, р15].</w:t>
      </w:r>
    </w:p>
    <w:p w:rsidR="008D67ED" w:rsidRPr="008D67ED" w:rsidRDefault="008D67ED" w:rsidP="008D67ED">
      <w:pPr>
        <w:spacing w:after="0" w:line="240" w:lineRule="auto"/>
        <w:ind w:firstLine="709"/>
        <w:jc w:val="both"/>
        <w:rPr>
          <w:color w:val="000000"/>
          <w:sz w:val="24"/>
          <w:szCs w:val="24"/>
          <w:lang w:val="en-US"/>
        </w:rPr>
      </w:pPr>
      <w:r w:rsidRPr="008D67ED">
        <w:rPr>
          <w:rFonts w:eastAsia="Calibri"/>
          <w:sz w:val="24"/>
          <w:szCs w:val="24"/>
        </w:rPr>
        <w:t xml:space="preserve">Reflecting on the importance of games and entertainment, the scientist noted, in particular, that after prolonged, «lively» fun, young people return to «serious» work without coercion, and therefore, timely and appropriately organized outdoor play is a necessary condition for the good fulfillment of the «higher» tasks of life. </w:t>
      </w:r>
      <w:r w:rsidRPr="008D67ED">
        <w:rPr>
          <w:sz w:val="24"/>
          <w:szCs w:val="24"/>
          <w:lang w:eastAsia="ru-RU"/>
        </w:rPr>
        <w:t xml:space="preserve">Among these tasks, </w:t>
      </w:r>
      <w:r w:rsidRPr="008D67ED">
        <w:rPr>
          <w:sz w:val="24"/>
          <w:szCs w:val="24"/>
          <w:lang w:val="en-US" w:eastAsia="ru-RU"/>
        </w:rPr>
        <w:t>H</w:t>
      </w:r>
      <w:r w:rsidRPr="008D67ED">
        <w:rPr>
          <w:sz w:val="24"/>
          <w:szCs w:val="24"/>
          <w:lang w:eastAsia="ru-RU"/>
        </w:rPr>
        <w:t>.</w:t>
      </w:r>
      <w:r w:rsidRPr="008D67ED">
        <w:rPr>
          <w:sz w:val="24"/>
          <w:szCs w:val="24"/>
          <w:lang w:val="en-US" w:eastAsia="ru-RU"/>
        </w:rPr>
        <w:t> J</w:t>
      </w:r>
      <w:r w:rsidRPr="008D67ED">
        <w:rPr>
          <w:sz w:val="24"/>
          <w:szCs w:val="24"/>
          <w:lang w:eastAsia="ru-RU"/>
        </w:rPr>
        <w:t>ordan gave priority to patriotism: a social feeling, the content of which is love for the homeland and the willingness to sacrifice one’s own interests for its sake.</w:t>
      </w:r>
      <w:r w:rsidRPr="008D67ED">
        <w:rPr>
          <w:sz w:val="24"/>
          <w:szCs w:val="24"/>
          <w:lang w:val="en-US" w:eastAsia="ru-RU"/>
        </w:rPr>
        <w:t xml:space="preserve"> </w:t>
      </w:r>
      <w:r w:rsidRPr="008D67ED">
        <w:rPr>
          <w:rFonts w:eastAsia="Calibri"/>
          <w:color w:val="202122"/>
          <w:sz w:val="24"/>
          <w:szCs w:val="24"/>
          <w:shd w:val="clear" w:color="auto" w:fill="FFFFFF"/>
        </w:rPr>
        <w:t>Therefore, in a land under foreign governments, the teacher sought to create a recreational and health-improving space for children and youth that would be rich in Polish patriotic themes.</w:t>
      </w:r>
      <w:r w:rsidRPr="008D67ED">
        <w:rPr>
          <w:rFonts w:eastAsia="Calibri"/>
          <w:sz w:val="24"/>
          <w:szCs w:val="24"/>
        </w:rPr>
        <w:t xml:space="preserve"> </w:t>
      </w:r>
      <w:r w:rsidRPr="008D67ED">
        <w:rPr>
          <w:rFonts w:eastAsia="Calibri"/>
          <w:color w:val="202122"/>
          <w:sz w:val="24"/>
          <w:szCs w:val="24"/>
          <w:shd w:val="clear" w:color="auto" w:fill="FFFFFF"/>
        </w:rPr>
        <w:t>For this purpose, special places were set aside in the Park where various educational programs for children and adolescents on Polish history were implemented.</w:t>
      </w:r>
      <w:r w:rsidRPr="008D67ED">
        <w:rPr>
          <w:rFonts w:eastAsia="Calibri"/>
          <w:color w:val="202122"/>
          <w:sz w:val="24"/>
          <w:szCs w:val="24"/>
          <w:shd w:val="clear" w:color="auto" w:fill="FFFFFF"/>
          <w:lang w:val="en-US"/>
        </w:rPr>
        <w:t xml:space="preserve"> </w:t>
      </w:r>
      <w:r w:rsidRPr="008D67ED">
        <w:rPr>
          <w:rFonts w:ascii="Calibri" w:eastAsia="Calibri" w:hAnsi="Calibri"/>
          <w:sz w:val="24"/>
          <w:szCs w:val="24"/>
        </w:rPr>
        <w:t xml:space="preserve"> </w:t>
      </w:r>
      <w:r w:rsidRPr="008D67ED">
        <w:rPr>
          <w:rFonts w:eastAsia="Calibri"/>
          <w:color w:val="202122"/>
          <w:sz w:val="24"/>
          <w:szCs w:val="24"/>
          <w:shd w:val="clear" w:color="auto" w:fill="FFFFFF"/>
          <w:lang w:val="en-US"/>
        </w:rPr>
        <w:t>H. J</w:t>
      </w:r>
      <w:r w:rsidRPr="008D67ED">
        <w:rPr>
          <w:rFonts w:eastAsia="Calibri"/>
          <w:color w:val="202122"/>
          <w:sz w:val="24"/>
          <w:szCs w:val="24"/>
          <w:shd w:val="clear" w:color="auto" w:fill="FFFFFF"/>
        </w:rPr>
        <w:t xml:space="preserve">ordan initiated this educational case and directly conducted classes of the appropriate content. </w:t>
      </w:r>
      <w:r w:rsidRPr="008D67ED">
        <w:rPr>
          <w:color w:val="000000"/>
          <w:sz w:val="24"/>
          <w:szCs w:val="24"/>
          <w:lang w:eastAsia="uk-UA"/>
        </w:rPr>
        <w:t>Among other things, the educational and methodological support of these classes was provided by 44</w:t>
      </w:r>
      <w:r w:rsidRPr="008D67ED">
        <w:rPr>
          <w:color w:val="000000"/>
          <w:sz w:val="24"/>
          <w:szCs w:val="24"/>
          <w:lang w:val="en-US" w:eastAsia="uk-UA"/>
        </w:rPr>
        <w:t> </w:t>
      </w:r>
      <w:r w:rsidRPr="008D67ED">
        <w:rPr>
          <w:color w:val="000000"/>
          <w:sz w:val="24"/>
          <w:szCs w:val="24"/>
          <w:lang w:eastAsia="uk-UA"/>
        </w:rPr>
        <w:t>monuments to prominent Poles, created with the financial assistance of the teacher: stories about them were to serve the patriotic education of children and youth.</w:t>
      </w:r>
    </w:p>
    <w:p w:rsidR="008D67ED" w:rsidRPr="008D67ED" w:rsidRDefault="008D67ED" w:rsidP="008D67ED">
      <w:pPr>
        <w:spacing w:after="0" w:line="240" w:lineRule="auto"/>
        <w:ind w:firstLine="709"/>
        <w:jc w:val="both"/>
        <w:rPr>
          <w:sz w:val="24"/>
          <w:szCs w:val="24"/>
          <w:lang w:eastAsia="ru-RU"/>
        </w:rPr>
      </w:pPr>
      <w:r w:rsidRPr="008D67ED">
        <w:rPr>
          <w:rFonts w:eastAsia="Calibri"/>
          <w:sz w:val="24"/>
          <w:szCs w:val="24"/>
        </w:rPr>
        <w:t>Centers intended «for fun and physical exercise», modeled on the Krakow park, were later created in Warsaw, Włocławek, Lviv, Lublin, Lutsk</w:t>
      </w:r>
      <w:r w:rsidRPr="008D67ED">
        <w:rPr>
          <w:rFonts w:eastAsia="Calibri"/>
          <w:sz w:val="24"/>
          <w:szCs w:val="24"/>
          <w:lang w:val="en-US"/>
        </w:rPr>
        <w:t xml:space="preserve">, </w:t>
      </w:r>
      <w:r w:rsidRPr="008D67ED">
        <w:rPr>
          <w:rFonts w:eastAsia="Calibri"/>
          <w:sz w:val="24"/>
          <w:szCs w:val="24"/>
        </w:rPr>
        <w:t>Kalisz, Kolomyia, Nowy Targ, Ternopil, Stanisław</w:t>
      </w:r>
      <w:r w:rsidRPr="008D67ED">
        <w:rPr>
          <w:rFonts w:eastAsia="Calibri"/>
          <w:sz w:val="24"/>
          <w:szCs w:val="24"/>
          <w:lang w:val="en-US"/>
        </w:rPr>
        <w:t>iw</w:t>
      </w:r>
      <w:r w:rsidRPr="008D67ED">
        <w:rPr>
          <w:rFonts w:eastAsia="Calibri"/>
          <w:sz w:val="24"/>
          <w:szCs w:val="24"/>
        </w:rPr>
        <w:t xml:space="preserve">, Stryi, Częstochowa, Cieszyn and other cities </w:t>
      </w:r>
      <w:r w:rsidRPr="008D67ED">
        <w:rPr>
          <w:rFonts w:eastAsia="Calibri"/>
          <w:sz w:val="24"/>
          <w:szCs w:val="24"/>
          <w:shd w:val="clear" w:color="auto" w:fill="FFFFFF"/>
        </w:rPr>
        <w:t>[</w:t>
      </w:r>
      <w:r w:rsidRPr="008D67ED">
        <w:rPr>
          <w:rFonts w:eastAsia="Calibri"/>
          <w:sz w:val="24"/>
          <w:szCs w:val="24"/>
          <w:shd w:val="clear" w:color="auto" w:fill="FFFFFF"/>
          <w:lang w:val="en-US"/>
        </w:rPr>
        <w:t>27</w:t>
      </w:r>
      <w:r w:rsidRPr="008D67ED">
        <w:rPr>
          <w:rFonts w:eastAsia="Calibri"/>
          <w:sz w:val="24"/>
          <w:szCs w:val="24"/>
          <w:shd w:val="clear" w:color="auto" w:fill="FFFFFF"/>
        </w:rPr>
        <w:t>,2</w:t>
      </w:r>
      <w:r w:rsidRPr="008D67ED">
        <w:rPr>
          <w:rFonts w:eastAsia="Calibri"/>
          <w:sz w:val="24"/>
          <w:szCs w:val="24"/>
          <w:shd w:val="clear" w:color="auto" w:fill="FFFFFF"/>
          <w:lang w:val="en-US"/>
        </w:rPr>
        <w:t>8</w:t>
      </w:r>
      <w:r w:rsidRPr="008D67ED">
        <w:rPr>
          <w:rFonts w:eastAsia="Calibri"/>
          <w:sz w:val="24"/>
          <w:szCs w:val="24"/>
          <w:shd w:val="clear" w:color="auto" w:fill="FFFFFF"/>
        </w:rPr>
        <w:t>].</w:t>
      </w:r>
      <w:r w:rsidRPr="008D67ED">
        <w:rPr>
          <w:sz w:val="24"/>
          <w:szCs w:val="24"/>
          <w:lang w:eastAsia="ru-RU"/>
        </w:rPr>
        <w:t xml:space="preserve"> </w:t>
      </w:r>
      <w:r w:rsidRPr="008D67ED">
        <w:rPr>
          <w:rFonts w:eastAsia="Calibri"/>
          <w:sz w:val="24"/>
          <w:szCs w:val="24"/>
        </w:rPr>
        <w:t xml:space="preserve">In particular, in Warsaw the idea was picked up by the Warsaw Hygienic Society (Polish: </w:t>
      </w:r>
      <w:r w:rsidRPr="008D67ED">
        <w:rPr>
          <w:rFonts w:eastAsia="Calibri"/>
          <w:i/>
          <w:sz w:val="24"/>
          <w:szCs w:val="24"/>
        </w:rPr>
        <w:t>Warszawskie Towarzystwo Higieniczne</w:t>
      </w:r>
      <w:r w:rsidRPr="008D67ED">
        <w:rPr>
          <w:rFonts w:eastAsia="Calibri"/>
          <w:sz w:val="24"/>
          <w:szCs w:val="24"/>
        </w:rPr>
        <w:t xml:space="preserve">), at a meeting of which the idea of creating the city’s first playground in the bosom of nature, voiced by engineer Tadeusz Balicki, received financial support in 1899 from the industrialist and banker Wilhelm Raua </w:t>
      </w:r>
      <w:r w:rsidRPr="008D67ED">
        <w:rPr>
          <w:rFonts w:eastAsia="Calibri"/>
          <w:color w:val="222222"/>
          <w:sz w:val="24"/>
          <w:szCs w:val="24"/>
          <w:shd w:val="clear" w:color="auto" w:fill="FFFFFF"/>
        </w:rPr>
        <w:t>[</w:t>
      </w:r>
      <w:r w:rsidRPr="008D67ED">
        <w:rPr>
          <w:rFonts w:eastAsia="Calibri"/>
          <w:sz w:val="24"/>
          <w:szCs w:val="24"/>
        </w:rPr>
        <w:t>5, р167</w:t>
      </w:r>
      <w:r w:rsidRPr="008D67ED">
        <w:rPr>
          <w:rFonts w:eastAsia="Calibri"/>
          <w:color w:val="222222"/>
          <w:sz w:val="24"/>
          <w:szCs w:val="24"/>
          <w:shd w:val="clear" w:color="auto" w:fill="FFFFFF"/>
        </w:rPr>
        <w:t>]</w:t>
      </w:r>
      <w:r w:rsidRPr="008D67ED">
        <w:rPr>
          <w:rFonts w:eastAsia="Calibri"/>
          <w:sz w:val="24"/>
          <w:szCs w:val="24"/>
        </w:rPr>
        <w:t>. This same year, two children’s «fun» locations appeared on the territory of existing parks, intended for children aged 6‒12, where 3,074 children signed up [</w:t>
      </w:r>
      <w:r w:rsidRPr="008D67ED">
        <w:rPr>
          <w:rFonts w:eastAsia="Calibri"/>
          <w:kern w:val="28"/>
          <w:sz w:val="24"/>
          <w:szCs w:val="24"/>
          <w:lang w:val="en-US"/>
        </w:rPr>
        <w:t>19</w:t>
      </w:r>
      <w:r w:rsidRPr="008D67ED">
        <w:rPr>
          <w:sz w:val="24"/>
          <w:szCs w:val="24"/>
          <w:lang w:eastAsia="ru-RU"/>
        </w:rPr>
        <w:t>, р15].</w:t>
      </w:r>
    </w:p>
    <w:p w:rsidR="008D67ED" w:rsidRPr="008D67ED" w:rsidRDefault="008D67ED" w:rsidP="008D67ED">
      <w:pPr>
        <w:spacing w:after="0" w:line="240" w:lineRule="auto"/>
        <w:ind w:firstLine="709"/>
        <w:jc w:val="both"/>
        <w:rPr>
          <w:rFonts w:eastAsia="TimesNewRomanPSMT"/>
          <w:sz w:val="24"/>
          <w:szCs w:val="24"/>
        </w:rPr>
      </w:pPr>
      <w:r w:rsidRPr="008D67ED">
        <w:rPr>
          <w:rFonts w:eastAsia="TimesNewRomanPSMT"/>
          <w:sz w:val="24"/>
          <w:szCs w:val="24"/>
        </w:rPr>
        <w:t>Jordan Park became famous far beyond Poland. It is enough to recall that at the exhibition of the First International Congress dedicated to the problems of hygiene (Nuremberg, 1904), one of the physical education teachers from Vienna, on his own initiative, presented a plan for the «City Park named after Dr. Henryk Jordan», voiced its organizational principles and demonstrated to the visitors of the exhibition a system of physical exercises, games and entertainment that were held in the Park. After this congress, the problem of organizing physical education in the fresh air continued to appear in periodicals, and school boards in the Austrian territories of Poland obliged school management to include the issue of physical education in the content of reports and discussions at annual district teachers’ conferences.</w:t>
      </w:r>
    </w:p>
    <w:p w:rsidR="008D67ED" w:rsidRPr="008D67ED" w:rsidRDefault="008D67ED" w:rsidP="008D67ED">
      <w:pPr>
        <w:spacing w:after="0" w:line="240" w:lineRule="auto"/>
        <w:ind w:firstLine="709"/>
        <w:jc w:val="both"/>
        <w:rPr>
          <w:rFonts w:eastAsia="Calibri"/>
          <w:sz w:val="24"/>
          <w:szCs w:val="24"/>
        </w:rPr>
      </w:pPr>
      <w:r w:rsidRPr="008D67ED">
        <w:rPr>
          <w:rFonts w:eastAsia="Calibri"/>
          <w:sz w:val="24"/>
          <w:szCs w:val="24"/>
        </w:rPr>
        <w:t xml:space="preserve">Scientific research has shown that this park, like other Jordanian parks, has long ceased to fulfill the tasks for which they were originally created in the late 19th and early 20th </w:t>
      </w:r>
      <w:r w:rsidRPr="008D67ED">
        <w:rPr>
          <w:rFonts w:eastAsia="Calibri"/>
          <w:sz w:val="24"/>
          <w:szCs w:val="24"/>
        </w:rPr>
        <w:lastRenderedPageBreak/>
        <w:t>centuries. Currently, they function as a health and recreational space in general, however, they have ceased to be platforms for purposeful and didactically thought-out physical education work with children and youth, which is regularly and free of charge for the pupils by experienced specialists.</w:t>
      </w:r>
    </w:p>
    <w:p w:rsidR="008D67ED" w:rsidRPr="00802413" w:rsidRDefault="008D67ED" w:rsidP="00802413">
      <w:pPr>
        <w:spacing w:after="0" w:line="260" w:lineRule="exact"/>
        <w:ind w:firstLine="709"/>
        <w:jc w:val="both"/>
        <w:rPr>
          <w:rFonts w:eastAsia="Calibri"/>
          <w:sz w:val="24"/>
          <w:szCs w:val="24"/>
        </w:rPr>
      </w:pPr>
      <w:r w:rsidRPr="00802413">
        <w:rPr>
          <w:rFonts w:eastAsia="Calibri"/>
          <w:sz w:val="24"/>
          <w:szCs w:val="24"/>
        </w:rPr>
        <w:t xml:space="preserve">More than 130 years have passed since the opening of Dr. Henryk Jordan Park in Krakow. A logical question arises: «Doesn’t the content of what we have presented resonate with a number of challenges that the domestic school in general and the physical education teacher in particular face today?». In this context, we distinguish two positions. The first position is challenges for the </w:t>
      </w:r>
      <w:r w:rsidRPr="00802413">
        <w:rPr>
          <w:rFonts w:eastAsia="Calibri"/>
          <w:sz w:val="24"/>
          <w:szCs w:val="24"/>
          <w:lang w:val="en-US"/>
        </w:rPr>
        <w:t>PE</w:t>
      </w:r>
      <w:r w:rsidRPr="00802413">
        <w:rPr>
          <w:rFonts w:eastAsia="Calibri"/>
          <w:sz w:val="24"/>
          <w:szCs w:val="24"/>
        </w:rPr>
        <w:t xml:space="preserve"> teacher. We will present a generalized conclusion from the analyzed materials in the following theses: student motivation for physical activity in the age of digital technologies;</w:t>
      </w:r>
      <w:r w:rsidRPr="00802413">
        <w:rPr>
          <w:color w:val="000000"/>
          <w:sz w:val="24"/>
          <w:szCs w:val="24"/>
        </w:rPr>
        <w:t xml:space="preserve"> </w:t>
      </w:r>
      <w:r w:rsidRPr="00802413">
        <w:rPr>
          <w:rFonts w:eastAsia="Calibri"/>
          <w:sz w:val="24"/>
          <w:szCs w:val="24"/>
        </w:rPr>
        <w:t>work on preventing overweight students; preventing exemptions from physical education lessons; the need to adapt physical activity to the characteristics of students and their level of training;</w:t>
      </w:r>
      <w:r w:rsidRPr="00802413">
        <w:rPr>
          <w:rFonts w:eastAsia="Calibri"/>
          <w:sz w:val="24"/>
          <w:szCs w:val="24"/>
          <w:lang w:val="en-US"/>
        </w:rPr>
        <w:t xml:space="preserve"> t</w:t>
      </w:r>
      <w:r w:rsidRPr="00802413">
        <w:rPr>
          <w:rFonts w:eastAsia="Calibri"/>
          <w:sz w:val="24"/>
          <w:szCs w:val="24"/>
        </w:rPr>
        <w:t xml:space="preserve">he teacher must: integrate the content of physical education lessons with health education; ensure the safety of physical education lessons, take care of physical education tools and equipment; constantly improve their qualifications to meet new educational trends and requirements. </w:t>
      </w:r>
      <w:r w:rsidRPr="00802413">
        <w:rPr>
          <w:color w:val="000000"/>
          <w:sz w:val="24"/>
          <w:szCs w:val="24"/>
        </w:rPr>
        <w:t>Therefore, it is quite obvious that many of the challenges that physical education teachers in Polish schools overcame in the late 19th and early 20th centuries remain open today, and the solutions to some of them require additional discussions and financial investments.</w:t>
      </w:r>
      <w:r w:rsidRPr="00802413">
        <w:rPr>
          <w:rFonts w:eastAsia="Calibri"/>
          <w:sz w:val="24"/>
          <w:szCs w:val="24"/>
          <w:lang w:val="en-US"/>
        </w:rPr>
        <w:t xml:space="preserve"> </w:t>
      </w:r>
      <w:r w:rsidRPr="00802413">
        <w:rPr>
          <w:rFonts w:eastAsia="Calibri"/>
          <w:sz w:val="24"/>
          <w:szCs w:val="24"/>
        </w:rPr>
        <w:t>The second position is the problem of establishing and constructing safe sports grounds that are designed to meet children’s needs. These initiatives are always «timely»</w:t>
      </w:r>
      <w:r w:rsidRPr="00802413">
        <w:rPr>
          <w:rFonts w:eastAsia="Calibri"/>
          <w:sz w:val="24"/>
          <w:szCs w:val="24"/>
          <w:lang w:val="en-US"/>
        </w:rPr>
        <w:t>.</w:t>
      </w:r>
      <w:r w:rsidRPr="00802413">
        <w:rPr>
          <w:rFonts w:eastAsia="Calibri"/>
          <w:sz w:val="24"/>
          <w:szCs w:val="24"/>
        </w:rPr>
        <w:t xml:space="preserve"> In this context, we note that it was only in the 19th century that the Western world began to treat the child as a social being with his or her own rights, worthy of protection and care.</w:t>
      </w:r>
      <w:r w:rsidRPr="00802413">
        <w:rPr>
          <w:rFonts w:eastAsia="Calibri"/>
          <w:sz w:val="24"/>
          <w:szCs w:val="24"/>
          <w:lang w:val="en-US"/>
        </w:rPr>
        <w:t xml:space="preserve"> </w:t>
      </w:r>
      <w:r w:rsidRPr="00802413">
        <w:rPr>
          <w:rFonts w:eastAsia="Calibri"/>
          <w:sz w:val="24"/>
          <w:szCs w:val="24"/>
        </w:rPr>
        <w:t xml:space="preserve">It was at that time that calls for a serious attitude towards young members of society intensified. </w:t>
      </w:r>
      <w:r w:rsidRPr="00802413">
        <w:rPr>
          <w:rFonts w:eastAsia="Calibri"/>
          <w:sz w:val="24"/>
          <w:szCs w:val="24"/>
          <w:lang w:val="en-US"/>
        </w:rPr>
        <w:t>H</w:t>
      </w:r>
      <w:r w:rsidRPr="00802413">
        <w:rPr>
          <w:rFonts w:eastAsia="Calibri"/>
          <w:sz w:val="24"/>
          <w:szCs w:val="24"/>
        </w:rPr>
        <w:t>.</w:t>
      </w:r>
      <w:r w:rsidRPr="00802413">
        <w:rPr>
          <w:rFonts w:eastAsia="Calibri"/>
          <w:sz w:val="24"/>
          <w:szCs w:val="24"/>
          <w:lang w:val="en-US"/>
        </w:rPr>
        <w:t> J</w:t>
      </w:r>
      <w:r w:rsidRPr="00802413">
        <w:rPr>
          <w:rFonts w:eastAsia="Calibri"/>
          <w:sz w:val="24"/>
          <w:szCs w:val="24"/>
        </w:rPr>
        <w:t>ordan belonged to the constellation of such people ‒ he showed that children and youth should have their own special place in urban space.</w:t>
      </w:r>
      <w:r w:rsidRPr="00802413">
        <w:rPr>
          <w:rFonts w:eastAsia="Calibri"/>
          <w:sz w:val="24"/>
          <w:szCs w:val="24"/>
          <w:lang w:val="en-US"/>
        </w:rPr>
        <w:t xml:space="preserve"> </w:t>
      </w:r>
      <w:r w:rsidRPr="00802413">
        <w:rPr>
          <w:rFonts w:eastAsia="Calibri"/>
          <w:sz w:val="24"/>
          <w:szCs w:val="24"/>
        </w:rPr>
        <w:t>The idea of a teacher became revolutionary on the scale of our continent. It remains avant-garde even today.</w:t>
      </w:r>
    </w:p>
    <w:p w:rsidR="008D67ED" w:rsidRPr="00802413" w:rsidRDefault="008D67ED" w:rsidP="00802413">
      <w:pPr>
        <w:spacing w:after="0" w:line="260" w:lineRule="exact"/>
        <w:ind w:firstLine="709"/>
        <w:jc w:val="both"/>
        <w:rPr>
          <w:rFonts w:eastAsia="Calibri"/>
          <w:sz w:val="24"/>
          <w:szCs w:val="24"/>
        </w:rPr>
      </w:pPr>
      <w:r w:rsidRPr="00802413">
        <w:rPr>
          <w:rFonts w:eastAsia="Calibri"/>
          <w:color w:val="000000"/>
          <w:sz w:val="24"/>
          <w:szCs w:val="24"/>
          <w:shd w:val="clear" w:color="auto" w:fill="FFFFFF"/>
        </w:rPr>
        <w:t xml:space="preserve">Are there any such «proposals» today that </w:t>
      </w:r>
      <w:r w:rsidRPr="00802413">
        <w:rPr>
          <w:rFonts w:eastAsia="Calibri"/>
          <w:color w:val="000000"/>
          <w:sz w:val="24"/>
          <w:szCs w:val="24"/>
          <w:shd w:val="clear" w:color="auto" w:fill="FFFFFF"/>
          <w:lang w:val="en-US"/>
        </w:rPr>
        <w:t>H. J</w:t>
      </w:r>
      <w:r w:rsidRPr="00802413">
        <w:rPr>
          <w:rFonts w:eastAsia="Calibri"/>
          <w:color w:val="000000"/>
          <w:sz w:val="24"/>
          <w:szCs w:val="24"/>
          <w:shd w:val="clear" w:color="auto" w:fill="FFFFFF"/>
        </w:rPr>
        <w:t>ordan proposed in his time? The first and only one that comes to mind in terms of scale is «Active Parks ‒ Locations of a Healthy Ukraine».</w:t>
      </w:r>
      <w:r w:rsidRPr="00802413">
        <w:rPr>
          <w:rFonts w:eastAsia="Calibri"/>
          <w:b/>
          <w:i/>
          <w:sz w:val="24"/>
          <w:szCs w:val="24"/>
        </w:rPr>
        <w:t xml:space="preserve"> </w:t>
      </w:r>
      <w:r w:rsidRPr="00802413">
        <w:rPr>
          <w:rFonts w:eastAsia="Calibri"/>
          <w:sz w:val="24"/>
          <w:szCs w:val="24"/>
        </w:rPr>
        <w:t>A wonderful social project. The main thing it has in common with the Jordanian parks is that it is free for those who participate.</w:t>
      </w:r>
      <w:r w:rsidRPr="00802413">
        <w:rPr>
          <w:rFonts w:eastAsia="Calibri"/>
          <w:sz w:val="24"/>
          <w:szCs w:val="24"/>
          <w:lang w:val="en-US"/>
        </w:rPr>
        <w:t xml:space="preserve"> </w:t>
      </w:r>
      <w:r w:rsidRPr="00802413">
        <w:rPr>
          <w:rFonts w:eastAsia="Calibri"/>
          <w:sz w:val="24"/>
          <w:szCs w:val="24"/>
        </w:rPr>
        <w:t>However, given the regularity of after</w:t>
      </w:r>
      <w:r w:rsidRPr="00802413">
        <w:rPr>
          <w:rFonts w:eastAsia="Calibri"/>
          <w:sz w:val="24"/>
          <w:szCs w:val="24"/>
          <w:lang w:val="en-US"/>
        </w:rPr>
        <w:noBreakHyphen/>
      </w:r>
      <w:r w:rsidRPr="00802413">
        <w:rPr>
          <w:rFonts w:eastAsia="Calibri"/>
          <w:sz w:val="24"/>
          <w:szCs w:val="24"/>
        </w:rPr>
        <w:t>school physical education for children and youth and the daily involvement of students in activities, we would give first place to the project called «Henryk Jordan Park in Krakow».</w:t>
      </w:r>
    </w:p>
    <w:p w:rsidR="008D67ED" w:rsidRPr="00802413" w:rsidRDefault="008D67ED" w:rsidP="00802413">
      <w:pPr>
        <w:spacing w:after="0" w:line="260" w:lineRule="exact"/>
        <w:ind w:firstLine="709"/>
        <w:jc w:val="both"/>
        <w:rPr>
          <w:rFonts w:eastAsia="Calibri"/>
          <w:sz w:val="24"/>
          <w:szCs w:val="24"/>
          <w:lang w:val="en-US"/>
        </w:rPr>
      </w:pPr>
      <w:r w:rsidRPr="00802413">
        <w:rPr>
          <w:rFonts w:eastAsia="Calibri"/>
          <w:sz w:val="24"/>
          <w:szCs w:val="24"/>
        </w:rPr>
        <w:t>What can everyone who is concerned about the problem of preserving a growing personality do? For example, it is within the power of the author of this publication to form in students a number of skills for conducting outdoor games, with the prediction and hope that when they come to school, they will want and be able to effectively organize the motor activity of students both during physical education lessons and in extracurricular and after-school work.</w:t>
      </w:r>
      <w:r w:rsidRPr="00802413">
        <w:rPr>
          <w:rFonts w:eastAsia="Calibri"/>
          <w:sz w:val="24"/>
          <w:szCs w:val="24"/>
          <w:lang w:val="en-US"/>
        </w:rPr>
        <w:t xml:space="preserve"> </w:t>
      </w:r>
      <w:r w:rsidRPr="00802413">
        <w:rPr>
          <w:rFonts w:eastAsia="Calibri"/>
          <w:sz w:val="24"/>
          <w:szCs w:val="24"/>
        </w:rPr>
        <w:t>We carry out the specified pedagogical case during the study by students of the elective disciplines «Safe Educational Environment» and «Foreign Practices of Health-Preserving Education of Students». The fact that this educational work is yielding positive results is evidenced, for example, by the fact that within the framework of the activities of the University of the Gifted Child, which operates at the Science Park of our university, students of the A3 «Primary Education» specialty successfully organize outdoor games with children of different age categories.</w:t>
      </w:r>
    </w:p>
    <w:p w:rsidR="008D67ED" w:rsidRPr="00802413" w:rsidRDefault="008D67ED" w:rsidP="00802413">
      <w:pPr>
        <w:spacing w:after="0" w:line="260" w:lineRule="exact"/>
        <w:ind w:firstLine="709"/>
        <w:jc w:val="both"/>
        <w:rPr>
          <w:sz w:val="24"/>
          <w:szCs w:val="24"/>
          <w:lang w:eastAsia="ru-RU"/>
        </w:rPr>
      </w:pPr>
      <w:r w:rsidRPr="00802413">
        <w:rPr>
          <w:rFonts w:eastAsia="Calibri"/>
          <w:b/>
          <w:sz w:val="24"/>
          <w:szCs w:val="24"/>
          <w:shd w:val="clear" w:color="auto" w:fill="FFFFFF"/>
        </w:rPr>
        <w:t>Conclusions.</w:t>
      </w:r>
      <w:r w:rsidRPr="00802413">
        <w:rPr>
          <w:rFonts w:eastAsia="Calibri"/>
          <w:sz w:val="24"/>
          <w:szCs w:val="24"/>
          <w:shd w:val="clear" w:color="auto" w:fill="FFFFFF"/>
        </w:rPr>
        <w:t xml:space="preserve"> </w:t>
      </w:r>
      <w:r w:rsidRPr="00802413">
        <w:rPr>
          <w:rFonts w:eastAsia="Calibri"/>
          <w:sz w:val="24"/>
          <w:szCs w:val="24"/>
        </w:rPr>
        <w:t xml:space="preserve">Thus, at the end of the 19th century, the ideas of </w:t>
      </w:r>
      <w:r w:rsidRPr="00802413">
        <w:rPr>
          <w:rFonts w:eastAsia="Calibri"/>
          <w:sz w:val="24"/>
          <w:szCs w:val="24"/>
          <w:lang w:val="en-US"/>
        </w:rPr>
        <w:t>H. </w:t>
      </w:r>
      <w:r w:rsidRPr="00802413">
        <w:rPr>
          <w:rFonts w:eastAsia="Calibri"/>
          <w:sz w:val="24"/>
          <w:szCs w:val="24"/>
        </w:rPr>
        <w:t>Jordan caused a revolution in the Polish pedagogy of that time regarding the vision of the content and forms of physical education of children and youth. Summarizing the contribution of the scientist</w:t>
      </w:r>
      <w:r w:rsidRPr="00802413">
        <w:rPr>
          <w:rFonts w:eastAsia="Calibri"/>
          <w:sz w:val="24"/>
          <w:szCs w:val="24"/>
          <w:lang w:val="en-US"/>
        </w:rPr>
        <w:noBreakHyphen/>
      </w:r>
      <w:r w:rsidRPr="00802413">
        <w:rPr>
          <w:rFonts w:eastAsia="Calibri"/>
          <w:sz w:val="24"/>
          <w:szCs w:val="24"/>
        </w:rPr>
        <w:t xml:space="preserve">pedagogue to the development of the practice of physical education, we will use the conclusions of scientists on this subject. </w:t>
      </w:r>
      <w:r w:rsidRPr="00802413">
        <w:rPr>
          <w:rFonts w:eastAsia="Calibri"/>
          <w:sz w:val="24"/>
          <w:szCs w:val="24"/>
          <w:shd w:val="clear" w:color="auto" w:fill="FFFFFF"/>
          <w:lang w:val="en-US"/>
        </w:rPr>
        <w:t>H</w:t>
      </w:r>
      <w:r w:rsidRPr="00802413">
        <w:rPr>
          <w:rFonts w:eastAsia="Calibri"/>
          <w:sz w:val="24"/>
          <w:szCs w:val="24"/>
          <w:shd w:val="clear" w:color="auto" w:fill="FFFFFF"/>
        </w:rPr>
        <w:t>.</w:t>
      </w:r>
      <w:r w:rsidRPr="00802413">
        <w:rPr>
          <w:rFonts w:eastAsia="Calibri"/>
          <w:sz w:val="24"/>
          <w:szCs w:val="24"/>
          <w:shd w:val="clear" w:color="auto" w:fill="FFFFFF"/>
          <w:lang w:val="en-US"/>
        </w:rPr>
        <w:t> </w:t>
      </w:r>
      <w:r w:rsidRPr="00802413">
        <w:rPr>
          <w:rFonts w:eastAsia="Calibri"/>
          <w:sz w:val="24"/>
          <w:szCs w:val="24"/>
          <w:shd w:val="clear" w:color="auto" w:fill="FFFFFF"/>
        </w:rPr>
        <w:t>Jordan was one of the first in Europe and the first in Poland to experience a «new wave» in education, «break» the patterns of education, introduce a «new style» in physical education, taking this education out of closed and stuffy gymnasiums into the bosom of nature, into fresh air and sunshine</w:t>
      </w:r>
      <w:r w:rsidRPr="00802413">
        <w:rPr>
          <w:rFonts w:eastAsia="Calibri"/>
          <w:iCs/>
          <w:sz w:val="24"/>
          <w:szCs w:val="24"/>
        </w:rPr>
        <w:t xml:space="preserve">. </w:t>
      </w:r>
      <w:r w:rsidRPr="00802413">
        <w:rPr>
          <w:rFonts w:eastAsia="Calibri"/>
          <w:sz w:val="24"/>
          <w:szCs w:val="24"/>
        </w:rPr>
        <w:t xml:space="preserve">The recreation and health center created by </w:t>
      </w:r>
      <w:r w:rsidRPr="00802413">
        <w:rPr>
          <w:rFonts w:eastAsia="Calibri"/>
          <w:sz w:val="24"/>
          <w:szCs w:val="24"/>
          <w:lang w:val="en-US"/>
        </w:rPr>
        <w:t>H. </w:t>
      </w:r>
      <w:r w:rsidRPr="00802413">
        <w:rPr>
          <w:rFonts w:eastAsia="Calibri"/>
          <w:sz w:val="24"/>
          <w:szCs w:val="24"/>
        </w:rPr>
        <w:t xml:space="preserve">Jordan became a «royal gift» for the Polish people, deprived of a «free homeland» and thirsting for revival, a «gift» that could ensure the physical and spiritual </w:t>
      </w:r>
      <w:r w:rsidRPr="00802413">
        <w:rPr>
          <w:rFonts w:eastAsia="Calibri"/>
          <w:sz w:val="24"/>
          <w:szCs w:val="24"/>
        </w:rPr>
        <w:lastRenderedPageBreak/>
        <w:t xml:space="preserve">health of the nation, </w:t>
      </w:r>
      <w:r w:rsidRPr="00802413">
        <w:rPr>
          <w:rFonts w:eastAsia="TimesNewRomanPSMT"/>
          <w:sz w:val="24"/>
          <w:szCs w:val="24"/>
          <w:lang w:val="en-US"/>
        </w:rPr>
        <w:t>it</w:t>
      </w:r>
      <w:r w:rsidRPr="00802413">
        <w:rPr>
          <w:rFonts w:eastAsia="TimesNewRomanPSMT"/>
          <w:sz w:val="24"/>
          <w:szCs w:val="24"/>
        </w:rPr>
        <w:t xml:space="preserve"> united the thousands of people who visited him for the sake of the nation’s health and physical strengthening</w:t>
      </w:r>
      <w:r w:rsidRPr="00802413">
        <w:rPr>
          <w:rFonts w:eastAsia="TimesNewRomanPSMT"/>
          <w:sz w:val="24"/>
          <w:szCs w:val="24"/>
          <w:lang w:val="en-US"/>
        </w:rPr>
        <w:t>h</w:t>
      </w:r>
      <w:r w:rsidRPr="00802413">
        <w:rPr>
          <w:rFonts w:eastAsia="TimesNewRomanPSMT"/>
          <w:sz w:val="24"/>
          <w:szCs w:val="24"/>
        </w:rPr>
        <w:t>.</w:t>
      </w:r>
      <w:r w:rsidRPr="00802413">
        <w:rPr>
          <w:rFonts w:eastAsia="Calibri"/>
          <w:sz w:val="24"/>
          <w:szCs w:val="24"/>
        </w:rPr>
        <w:t xml:space="preserve"> Thanks to his sacrifice and patriotism, combined with pedagogical sophistication and delicacy, and a unique ability to convince others of the feasibility of his ideas, the teacher managed to create a multi</w:t>
      </w:r>
      <w:r w:rsidRPr="00802413">
        <w:rPr>
          <w:rFonts w:eastAsia="Calibri"/>
          <w:sz w:val="24"/>
          <w:szCs w:val="24"/>
          <w:lang w:val="en-US"/>
        </w:rPr>
        <w:noBreakHyphen/>
      </w:r>
      <w:r w:rsidRPr="00802413">
        <w:rPr>
          <w:rFonts w:eastAsia="Calibri"/>
          <w:sz w:val="24"/>
          <w:szCs w:val="24"/>
        </w:rPr>
        <w:t>vector, innovative, and effective system of extracurricular education, which alternative models of organizing children’s and youth’s free time proposed throughout the 20th century could not «surpass».</w:t>
      </w:r>
      <w:r w:rsidRPr="00802413">
        <w:rPr>
          <w:rFonts w:eastAsia="Calibri"/>
          <w:sz w:val="24"/>
          <w:szCs w:val="24"/>
          <w:lang w:val="en-US"/>
        </w:rPr>
        <w:t xml:space="preserve"> </w:t>
      </w:r>
      <w:r w:rsidRPr="00802413">
        <w:rPr>
          <w:rFonts w:eastAsia="Calibri"/>
          <w:sz w:val="24"/>
          <w:szCs w:val="24"/>
        </w:rPr>
        <w:t xml:space="preserve">Even today, in the content and technologies of the existing various concepts of promoting health and physical development of a growing personality, it is difficult to find an analogue to the postulate of a holistic vision of a person and the desire for his comprehensive development declared by pedagogy. </w:t>
      </w:r>
    </w:p>
    <w:p w:rsidR="008D67ED" w:rsidRPr="00802413" w:rsidRDefault="008D67ED" w:rsidP="00802413">
      <w:pPr>
        <w:spacing w:after="0" w:line="260" w:lineRule="exact"/>
        <w:ind w:firstLine="709"/>
        <w:jc w:val="both"/>
        <w:rPr>
          <w:rFonts w:eastAsia="Calibri"/>
          <w:sz w:val="24"/>
          <w:szCs w:val="24"/>
          <w:shd w:val="clear" w:color="auto" w:fill="FFFFFF"/>
          <w:lang w:val="en-US"/>
        </w:rPr>
      </w:pPr>
      <w:r w:rsidRPr="00802413">
        <w:rPr>
          <w:rFonts w:eastAsia="Calibri"/>
          <w:b/>
          <w:sz w:val="24"/>
          <w:szCs w:val="24"/>
          <w:shd w:val="clear" w:color="auto" w:fill="FFFFFF"/>
        </w:rPr>
        <w:t>Prospects for further research.</w:t>
      </w:r>
      <w:r w:rsidRPr="00802413">
        <w:rPr>
          <w:rFonts w:eastAsia="Calibri"/>
          <w:sz w:val="24"/>
          <w:szCs w:val="24"/>
          <w:shd w:val="clear" w:color="auto" w:fill="FFFFFF"/>
        </w:rPr>
        <w:t xml:space="preserve"> </w:t>
      </w:r>
      <w:r w:rsidRPr="00802413">
        <w:rPr>
          <w:rFonts w:eastAsia="Calibri"/>
          <w:sz w:val="24"/>
          <w:szCs w:val="24"/>
        </w:rPr>
        <w:t>A logical continuation of the issues raised in our study could be: experience in physical education and health activities at the University of Gifted Children, Department of Primary Education and Educational Innovations and Departments of the Faculty of Physical Education and Sports of the Vasyl Stefanyk Carpathian National University;</w:t>
      </w:r>
      <w:r w:rsidRPr="00802413">
        <w:rPr>
          <w:rFonts w:eastAsia="Calibri"/>
          <w:sz w:val="24"/>
          <w:szCs w:val="24"/>
          <w:lang w:val="en-US"/>
        </w:rPr>
        <w:t xml:space="preserve"> </w:t>
      </w:r>
      <w:r w:rsidRPr="00802413">
        <w:rPr>
          <w:rFonts w:eastAsia="Calibri"/>
          <w:sz w:val="24"/>
          <w:szCs w:val="24"/>
        </w:rPr>
        <w:t>possibilities of implementing modern Polish extracurricular physical education programs in the Ukrainian educational space.</w:t>
      </w:r>
    </w:p>
    <w:p w:rsidR="008D67ED" w:rsidRPr="008D67ED" w:rsidRDefault="008D67ED" w:rsidP="008D67ED">
      <w:pPr>
        <w:spacing w:after="0" w:line="240" w:lineRule="auto"/>
        <w:ind w:firstLine="709"/>
        <w:jc w:val="both"/>
        <w:rPr>
          <w:rFonts w:eastAsia="Calibri"/>
          <w:b/>
          <w:sz w:val="24"/>
          <w:szCs w:val="24"/>
        </w:rPr>
      </w:pPr>
    </w:p>
    <w:p w:rsidR="008D67ED" w:rsidRPr="008D67ED" w:rsidRDefault="008D67ED" w:rsidP="008D67ED">
      <w:pPr>
        <w:spacing w:after="0" w:line="240" w:lineRule="auto"/>
        <w:jc w:val="center"/>
        <w:rPr>
          <w:rFonts w:eastAsia="Calibri"/>
          <w:b/>
          <w:sz w:val="20"/>
          <w:szCs w:val="20"/>
          <w:shd w:val="clear" w:color="auto" w:fill="FFFFFF"/>
          <w:lang w:val="en-US"/>
        </w:rPr>
      </w:pPr>
      <w:r w:rsidRPr="008D67ED">
        <w:rPr>
          <w:rFonts w:eastAsia="Calibri"/>
          <w:b/>
          <w:sz w:val="20"/>
          <w:szCs w:val="20"/>
          <w:shd w:val="clear" w:color="auto" w:fill="FFFFFF"/>
        </w:rPr>
        <w:t>References</w:t>
      </w:r>
    </w:p>
    <w:p w:rsidR="008D67ED" w:rsidRPr="008D67ED" w:rsidRDefault="008D67ED" w:rsidP="008D67ED">
      <w:pPr>
        <w:numPr>
          <w:ilvl w:val="0"/>
          <w:numId w:val="20"/>
        </w:numPr>
        <w:spacing w:after="0" w:line="240" w:lineRule="auto"/>
        <w:ind w:left="0" w:firstLine="0"/>
        <w:contextualSpacing/>
        <w:jc w:val="both"/>
        <w:rPr>
          <w:kern w:val="28"/>
          <w:sz w:val="20"/>
          <w:szCs w:val="20"/>
          <w:lang w:eastAsia="uk-UA"/>
        </w:rPr>
      </w:pPr>
      <w:r w:rsidRPr="008D67ED">
        <w:rPr>
          <w:sz w:val="20"/>
          <w:szCs w:val="20"/>
          <w:lang w:eastAsia="uk-UA"/>
        </w:rPr>
        <w:t>Karpenko O.</w:t>
      </w:r>
      <w:r w:rsidRPr="008D67ED">
        <w:rPr>
          <w:sz w:val="20"/>
          <w:szCs w:val="20"/>
          <w:lang w:val="en-US" w:eastAsia="uk-UA"/>
        </w:rPr>
        <w:t xml:space="preserve"> </w:t>
      </w:r>
      <w:r w:rsidRPr="008D67ED">
        <w:rPr>
          <w:sz w:val="20"/>
          <w:szCs w:val="20"/>
          <w:lang w:eastAsia="uk-UA"/>
        </w:rPr>
        <w:t xml:space="preserve">Opika nad ditmy i moloddiu u hromadskii diialnosti Henryka </w:t>
      </w:r>
      <w:r w:rsidRPr="008D67ED">
        <w:rPr>
          <w:sz w:val="20"/>
          <w:szCs w:val="20"/>
          <w:lang w:val="en-US" w:eastAsia="uk-UA"/>
        </w:rPr>
        <w:t>J</w:t>
      </w:r>
      <w:r w:rsidRPr="008D67ED">
        <w:rPr>
          <w:sz w:val="20"/>
          <w:szCs w:val="20"/>
          <w:lang w:eastAsia="uk-UA"/>
        </w:rPr>
        <w:t>ordana (1842‒1907)</w:t>
      </w:r>
      <w:r w:rsidRPr="008D67ED">
        <w:rPr>
          <w:sz w:val="20"/>
          <w:szCs w:val="20"/>
          <w:lang w:val="en-US" w:eastAsia="uk-UA"/>
        </w:rPr>
        <w:t xml:space="preserve"> [Care for children and youth in the public activities of Henryk Jordan (1842‒1907)]</w:t>
      </w:r>
      <w:r w:rsidRPr="008D67ED">
        <w:rPr>
          <w:sz w:val="20"/>
          <w:szCs w:val="20"/>
          <w:lang w:eastAsia="uk-UA"/>
        </w:rPr>
        <w:t>.</w:t>
      </w:r>
      <w:r w:rsidRPr="008D67ED">
        <w:rPr>
          <w:sz w:val="20"/>
          <w:szCs w:val="20"/>
          <w:lang w:val="en-US" w:eastAsia="uk-UA"/>
        </w:rPr>
        <w:t xml:space="preserve"> </w:t>
      </w:r>
      <w:r w:rsidRPr="008D67ED">
        <w:rPr>
          <w:sz w:val="20"/>
          <w:szCs w:val="20"/>
          <w:lang w:eastAsia="uk-UA"/>
        </w:rPr>
        <w:t>Pedahohichna personalistyka: teoriia, istoriia, osvitnia praktyka: materialy I Vseukrainskoi nauk.-prakt. internet-konf. (25 liutoho 2016 r.)</w:t>
      </w:r>
      <w:r w:rsidRPr="008D67ED">
        <w:rPr>
          <w:sz w:val="20"/>
          <w:szCs w:val="20"/>
          <w:lang w:val="en-US" w:eastAsia="uk-UA"/>
        </w:rPr>
        <w:t>.</w:t>
      </w:r>
      <w:r w:rsidRPr="008D67ED">
        <w:rPr>
          <w:sz w:val="20"/>
          <w:szCs w:val="20"/>
          <w:lang w:eastAsia="uk-UA"/>
        </w:rPr>
        <w:t xml:space="preserve"> Ivano Frankivsk</w:t>
      </w:r>
      <w:r w:rsidRPr="008D67ED">
        <w:rPr>
          <w:sz w:val="20"/>
          <w:szCs w:val="20"/>
          <w:lang w:val="en-US" w:eastAsia="uk-UA"/>
        </w:rPr>
        <w:t>;2016. P</w:t>
      </w:r>
      <w:r w:rsidRPr="008D67ED">
        <w:rPr>
          <w:sz w:val="20"/>
          <w:szCs w:val="20"/>
          <w:lang w:eastAsia="uk-UA"/>
        </w:rPr>
        <w:t>.</w:t>
      </w:r>
      <w:r w:rsidRPr="008D67ED">
        <w:rPr>
          <w:sz w:val="20"/>
          <w:szCs w:val="20"/>
          <w:lang w:val="en-US" w:eastAsia="uk-UA"/>
        </w:rPr>
        <w:t> </w:t>
      </w:r>
      <w:r w:rsidRPr="008D67ED">
        <w:rPr>
          <w:sz w:val="20"/>
          <w:szCs w:val="20"/>
          <w:lang w:eastAsia="uk-UA"/>
        </w:rPr>
        <w:t>68-73. [</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z w:val="20"/>
          <w:szCs w:val="20"/>
          <w:shd w:val="clear" w:color="auto" w:fill="FFFFFF"/>
          <w:lang w:eastAsia="uk-UA"/>
        </w:rPr>
        <w:t xml:space="preserve">Vilchkovskyi ES, Shyian BM, Tsos AV, Pasichnyk VR. </w:t>
      </w:r>
      <w:r w:rsidRPr="008D67ED">
        <w:rPr>
          <w:sz w:val="20"/>
          <w:szCs w:val="20"/>
          <w:shd w:val="clear" w:color="auto" w:fill="FFFFFF"/>
          <w:lang w:val="en-US" w:eastAsia="uk-UA"/>
        </w:rPr>
        <w:t>Systema</w:t>
      </w:r>
      <w:r w:rsidRPr="008D67ED">
        <w:rPr>
          <w:sz w:val="20"/>
          <w:szCs w:val="20"/>
          <w:shd w:val="clear" w:color="auto" w:fill="FFFFFF"/>
          <w:lang w:eastAsia="uk-UA"/>
        </w:rPr>
        <w:t xml:space="preserve"> </w:t>
      </w:r>
      <w:r w:rsidRPr="008D67ED">
        <w:rPr>
          <w:sz w:val="20"/>
          <w:szCs w:val="20"/>
          <w:shd w:val="clear" w:color="auto" w:fill="FFFFFF"/>
          <w:lang w:val="en-US" w:eastAsia="uk-UA"/>
        </w:rPr>
        <w:t>fizychnoho</w:t>
      </w:r>
      <w:r w:rsidRPr="008D67ED">
        <w:rPr>
          <w:sz w:val="20"/>
          <w:szCs w:val="20"/>
          <w:shd w:val="clear" w:color="auto" w:fill="FFFFFF"/>
          <w:lang w:eastAsia="uk-UA"/>
        </w:rPr>
        <w:t xml:space="preserve"> </w:t>
      </w:r>
      <w:r w:rsidRPr="008D67ED">
        <w:rPr>
          <w:sz w:val="20"/>
          <w:szCs w:val="20"/>
          <w:shd w:val="clear" w:color="auto" w:fill="FFFFFF"/>
          <w:lang w:val="en-US" w:eastAsia="uk-UA"/>
        </w:rPr>
        <w:t>vykhovannia</w:t>
      </w:r>
      <w:r w:rsidRPr="008D67ED">
        <w:rPr>
          <w:sz w:val="20"/>
          <w:szCs w:val="20"/>
          <w:shd w:val="clear" w:color="auto" w:fill="FFFFFF"/>
          <w:lang w:eastAsia="uk-UA"/>
        </w:rPr>
        <w:t xml:space="preserve"> </w:t>
      </w:r>
      <w:r w:rsidRPr="008D67ED">
        <w:rPr>
          <w:sz w:val="20"/>
          <w:szCs w:val="20"/>
          <w:shd w:val="clear" w:color="auto" w:fill="FFFFFF"/>
          <w:lang w:val="en-US" w:eastAsia="uk-UA"/>
        </w:rPr>
        <w:t>uchniv</w:t>
      </w:r>
      <w:r w:rsidRPr="008D67ED">
        <w:rPr>
          <w:sz w:val="20"/>
          <w:szCs w:val="20"/>
          <w:shd w:val="clear" w:color="auto" w:fill="FFFFFF"/>
          <w:lang w:eastAsia="uk-UA"/>
        </w:rPr>
        <w:t xml:space="preserve"> </w:t>
      </w:r>
      <w:r w:rsidRPr="008D67ED">
        <w:rPr>
          <w:sz w:val="20"/>
          <w:szCs w:val="20"/>
          <w:shd w:val="clear" w:color="auto" w:fill="FFFFFF"/>
          <w:lang w:val="en-US" w:eastAsia="uk-UA"/>
        </w:rPr>
        <w:t>zahalnoosvitnikh</w:t>
      </w:r>
      <w:r w:rsidRPr="008D67ED">
        <w:rPr>
          <w:sz w:val="20"/>
          <w:szCs w:val="20"/>
          <w:shd w:val="clear" w:color="auto" w:fill="FFFFFF"/>
          <w:lang w:eastAsia="uk-UA"/>
        </w:rPr>
        <w:t xml:space="preserve"> </w:t>
      </w:r>
      <w:r w:rsidRPr="008D67ED">
        <w:rPr>
          <w:sz w:val="20"/>
          <w:szCs w:val="20"/>
          <w:shd w:val="clear" w:color="auto" w:fill="FFFFFF"/>
          <w:lang w:val="en-US" w:eastAsia="uk-UA"/>
        </w:rPr>
        <w:t>shkil</w:t>
      </w:r>
      <w:r w:rsidRPr="008D67ED">
        <w:rPr>
          <w:sz w:val="20"/>
          <w:szCs w:val="20"/>
          <w:shd w:val="clear" w:color="auto" w:fill="FFFFFF"/>
          <w:lang w:eastAsia="uk-UA"/>
        </w:rPr>
        <w:t xml:space="preserve"> </w:t>
      </w:r>
      <w:r w:rsidRPr="008D67ED">
        <w:rPr>
          <w:sz w:val="20"/>
          <w:szCs w:val="20"/>
          <w:shd w:val="clear" w:color="auto" w:fill="FFFFFF"/>
          <w:lang w:val="en-US" w:eastAsia="uk-UA"/>
        </w:rPr>
        <w:t>Polshchi</w:t>
      </w:r>
      <w:r w:rsidRPr="008D67ED">
        <w:rPr>
          <w:sz w:val="20"/>
          <w:szCs w:val="20"/>
          <w:shd w:val="clear" w:color="auto" w:fill="FFFFFF"/>
          <w:lang w:eastAsia="uk-UA"/>
        </w:rPr>
        <w:t xml:space="preserve"> </w:t>
      </w:r>
      <w:r w:rsidRPr="008D67ED">
        <w:rPr>
          <w:sz w:val="20"/>
          <w:szCs w:val="20"/>
          <w:shd w:val="clear" w:color="auto" w:fill="FFFFFF"/>
          <w:lang w:val="en-US" w:eastAsia="uk-UA"/>
        </w:rPr>
        <w:t>ta</w:t>
      </w:r>
      <w:r w:rsidRPr="008D67ED">
        <w:rPr>
          <w:sz w:val="20"/>
          <w:szCs w:val="20"/>
          <w:shd w:val="clear" w:color="auto" w:fill="FFFFFF"/>
          <w:lang w:eastAsia="uk-UA"/>
        </w:rPr>
        <w:t xml:space="preserve"> </w:t>
      </w:r>
      <w:r w:rsidRPr="008D67ED">
        <w:rPr>
          <w:sz w:val="20"/>
          <w:szCs w:val="20"/>
          <w:shd w:val="clear" w:color="auto" w:fill="FFFFFF"/>
          <w:lang w:val="en-US" w:eastAsia="uk-UA"/>
        </w:rPr>
        <w:t>Ukrainy</w:t>
      </w:r>
      <w:r w:rsidRPr="008D67ED">
        <w:rPr>
          <w:sz w:val="20"/>
          <w:szCs w:val="20"/>
          <w:shd w:val="clear" w:color="auto" w:fill="FFFFFF"/>
          <w:lang w:eastAsia="uk-UA"/>
        </w:rPr>
        <w:t xml:space="preserve"> (</w:t>
      </w:r>
      <w:r w:rsidRPr="008D67ED">
        <w:rPr>
          <w:sz w:val="20"/>
          <w:szCs w:val="20"/>
          <w:shd w:val="clear" w:color="auto" w:fill="FFFFFF"/>
          <w:lang w:val="en-US" w:eastAsia="uk-UA"/>
        </w:rPr>
        <w:t>KhVI</w:t>
      </w:r>
      <w:r w:rsidRPr="008D67ED">
        <w:rPr>
          <w:sz w:val="20"/>
          <w:szCs w:val="20"/>
          <w:shd w:val="clear" w:color="auto" w:fill="FFFFFF"/>
          <w:lang w:eastAsia="uk-UA"/>
        </w:rPr>
        <w:t xml:space="preserve"> – </w:t>
      </w:r>
      <w:r w:rsidRPr="008D67ED">
        <w:rPr>
          <w:sz w:val="20"/>
          <w:szCs w:val="20"/>
          <w:shd w:val="clear" w:color="auto" w:fill="FFFFFF"/>
          <w:lang w:val="en-US" w:eastAsia="uk-UA"/>
        </w:rPr>
        <w:t>pochatok</w:t>
      </w:r>
      <w:r w:rsidRPr="008D67ED">
        <w:rPr>
          <w:sz w:val="20"/>
          <w:szCs w:val="20"/>
          <w:shd w:val="clear" w:color="auto" w:fill="FFFFFF"/>
          <w:lang w:eastAsia="uk-UA"/>
        </w:rPr>
        <w:t xml:space="preserve"> </w:t>
      </w:r>
      <w:r w:rsidRPr="008D67ED">
        <w:rPr>
          <w:sz w:val="20"/>
          <w:szCs w:val="20"/>
          <w:shd w:val="clear" w:color="auto" w:fill="FFFFFF"/>
          <w:lang w:val="en-US" w:eastAsia="uk-UA"/>
        </w:rPr>
        <w:t>KhKhI</w:t>
      </w:r>
      <w:r w:rsidRPr="008D67ED">
        <w:rPr>
          <w:sz w:val="20"/>
          <w:szCs w:val="20"/>
          <w:shd w:val="clear" w:color="auto" w:fill="FFFFFF"/>
          <w:lang w:eastAsia="uk-UA"/>
        </w:rPr>
        <w:t xml:space="preserve"> </w:t>
      </w:r>
      <w:r w:rsidRPr="008D67ED">
        <w:rPr>
          <w:sz w:val="20"/>
          <w:szCs w:val="20"/>
          <w:shd w:val="clear" w:color="auto" w:fill="FFFFFF"/>
          <w:lang w:val="en-US" w:eastAsia="uk-UA"/>
        </w:rPr>
        <w:t>stolittia</w:t>
      </w:r>
      <w:r w:rsidRPr="008D67ED">
        <w:rPr>
          <w:sz w:val="20"/>
          <w:szCs w:val="20"/>
          <w:shd w:val="clear" w:color="auto" w:fill="FFFFFF"/>
          <w:lang w:eastAsia="uk-UA"/>
        </w:rPr>
        <w:t xml:space="preserve">): </w:t>
      </w:r>
      <w:r w:rsidRPr="008D67ED">
        <w:rPr>
          <w:sz w:val="20"/>
          <w:szCs w:val="20"/>
          <w:shd w:val="clear" w:color="auto" w:fill="FFFFFF"/>
          <w:lang w:val="en-US" w:eastAsia="uk-UA"/>
        </w:rPr>
        <w:t>porivnialnyi</w:t>
      </w:r>
      <w:r w:rsidRPr="008D67ED">
        <w:rPr>
          <w:sz w:val="20"/>
          <w:szCs w:val="20"/>
          <w:shd w:val="clear" w:color="auto" w:fill="FFFFFF"/>
          <w:lang w:eastAsia="uk-UA"/>
        </w:rPr>
        <w:t xml:space="preserve"> </w:t>
      </w:r>
      <w:r w:rsidRPr="008D67ED">
        <w:rPr>
          <w:sz w:val="20"/>
          <w:szCs w:val="20"/>
          <w:shd w:val="clear" w:color="auto" w:fill="FFFFFF"/>
          <w:lang w:val="en-US" w:eastAsia="uk-UA"/>
        </w:rPr>
        <w:t>analiz</w:t>
      </w:r>
      <w:r w:rsidRPr="008D67ED">
        <w:rPr>
          <w:sz w:val="20"/>
          <w:szCs w:val="20"/>
          <w:shd w:val="clear" w:color="auto" w:fill="FFFFFF"/>
          <w:lang w:eastAsia="uk-UA"/>
        </w:rPr>
        <w:t xml:space="preserve"> (2016) </w:t>
      </w:r>
      <w:r w:rsidRPr="008D67ED">
        <w:rPr>
          <w:sz w:val="20"/>
          <w:szCs w:val="20"/>
          <w:lang w:eastAsia="uk-UA"/>
        </w:rPr>
        <w:t>[The system of physical education of secondary school students in Poland and Ukraine (16th – early 21st centuries): a comparative analysis]</w:t>
      </w:r>
      <w:r w:rsidRPr="008D67ED">
        <w:rPr>
          <w:sz w:val="20"/>
          <w:szCs w:val="20"/>
          <w:shd w:val="clear" w:color="auto" w:fill="FFFFFF"/>
          <w:lang w:eastAsia="uk-UA"/>
        </w:rPr>
        <w:t>: monohrafiia</w:t>
      </w:r>
      <w:r w:rsidRPr="008D67ED">
        <w:rPr>
          <w:sz w:val="20"/>
          <w:szCs w:val="20"/>
          <w:shd w:val="clear" w:color="auto" w:fill="FFFFFF"/>
          <w:lang w:val="en-US" w:eastAsia="uk-UA"/>
        </w:rPr>
        <w:t>.</w:t>
      </w:r>
      <w:r w:rsidRPr="008D67ED">
        <w:rPr>
          <w:sz w:val="20"/>
          <w:szCs w:val="20"/>
          <w:shd w:val="clear" w:color="auto" w:fill="FFFFFF"/>
          <w:lang w:eastAsia="uk-UA"/>
        </w:rPr>
        <w:t xml:space="preserve"> Lutsk: Vezha</w:t>
      </w:r>
      <w:r w:rsidRPr="008D67ED">
        <w:rPr>
          <w:sz w:val="20"/>
          <w:szCs w:val="20"/>
          <w:shd w:val="clear" w:color="auto" w:fill="FFFFFF"/>
          <w:lang w:val="en-US" w:eastAsia="uk-UA"/>
        </w:rPr>
        <w:t>-</w:t>
      </w:r>
      <w:r w:rsidRPr="008D67ED">
        <w:rPr>
          <w:sz w:val="20"/>
          <w:szCs w:val="20"/>
          <w:shd w:val="clear" w:color="auto" w:fill="FFFFFF"/>
          <w:lang w:eastAsia="uk-UA"/>
        </w:rPr>
        <w:t>Druk. 240</w:t>
      </w:r>
      <w:r w:rsidRPr="008D67ED">
        <w:rPr>
          <w:sz w:val="20"/>
          <w:szCs w:val="20"/>
          <w:shd w:val="clear" w:color="auto" w:fill="FFFFFF"/>
          <w:lang w:val="en-US" w:eastAsia="uk-UA"/>
        </w:rPr>
        <w:t> p</w:t>
      </w:r>
      <w:r w:rsidRPr="008D67ED">
        <w:rPr>
          <w:sz w:val="20"/>
          <w:szCs w:val="20"/>
          <w:shd w:val="clear" w:color="auto" w:fill="FFFFFF"/>
          <w:lang w:eastAsia="uk-UA"/>
        </w:rPr>
        <w:t>.</w:t>
      </w:r>
      <w:r w:rsidRPr="008D67ED">
        <w:rPr>
          <w:sz w:val="20"/>
          <w:szCs w:val="20"/>
          <w:lang w:eastAsia="uk-UA"/>
        </w:rPr>
        <w:t xml:space="preserve"> [</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z w:val="20"/>
          <w:szCs w:val="20"/>
          <w:lang w:eastAsia="uk-UA"/>
        </w:rPr>
        <w:t>Savchenko N. Heneza zakladiv pozashkilnoi osvity u Polshchi [The genesis of extracurricular education institutions in Poland]. Vytoky pedahohichnoi maisternosti: zbirnyk naukovykh prats; seriia: Pedahohichni nauky. 2011; 8(2):230-35. [</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 </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z w:val="20"/>
          <w:szCs w:val="20"/>
          <w:lang w:eastAsia="uk-UA"/>
        </w:rPr>
        <w:t>Romanchuk L, Kokovskyi T. H.</w:t>
      </w:r>
      <w:r w:rsidRPr="008D67ED">
        <w:rPr>
          <w:sz w:val="20"/>
          <w:szCs w:val="20"/>
          <w:lang w:val="en-US" w:eastAsia="uk-UA"/>
        </w:rPr>
        <w:t> J</w:t>
      </w:r>
      <w:r w:rsidRPr="008D67ED">
        <w:rPr>
          <w:sz w:val="20"/>
          <w:szCs w:val="20"/>
          <w:lang w:eastAsia="uk-UA"/>
        </w:rPr>
        <w:t>ordan ‒ hinekoloh i akusher, zasnovnyk parkiv zdorovia</w:t>
      </w:r>
      <w:r w:rsidRPr="008D67ED">
        <w:rPr>
          <w:sz w:val="20"/>
          <w:szCs w:val="20"/>
          <w:lang w:val="en-US" w:eastAsia="uk-UA"/>
        </w:rPr>
        <w:t xml:space="preserve"> </w:t>
      </w:r>
      <w:r w:rsidRPr="008D67ED">
        <w:rPr>
          <w:sz w:val="20"/>
          <w:szCs w:val="20"/>
          <w:lang w:eastAsia="uk-UA"/>
        </w:rPr>
        <w:t xml:space="preserve">[Jordan is a gynecologist and obstetrician, founder of health parks]. </w:t>
      </w:r>
      <w:r w:rsidRPr="008D67ED">
        <w:rPr>
          <w:sz w:val="20"/>
          <w:szCs w:val="20"/>
          <w:lang w:val="en-US" w:eastAsia="uk-UA"/>
        </w:rPr>
        <w:t>Academia</w:t>
      </w:r>
      <w:r w:rsidRPr="008D67ED">
        <w:rPr>
          <w:sz w:val="20"/>
          <w:szCs w:val="20"/>
          <w:lang w:eastAsia="uk-UA"/>
        </w:rPr>
        <w:t xml:space="preserve">: </w:t>
      </w:r>
      <w:r w:rsidRPr="008D67ED">
        <w:rPr>
          <w:sz w:val="20"/>
          <w:szCs w:val="20"/>
          <w:lang w:val="en-US" w:eastAsia="uk-UA"/>
        </w:rPr>
        <w:t>v</w:t>
      </w:r>
      <w:r w:rsidRPr="008D67ED">
        <w:rPr>
          <w:sz w:val="20"/>
          <w:szCs w:val="20"/>
          <w:lang w:eastAsia="uk-UA"/>
        </w:rPr>
        <w:t>ebsait</w:t>
      </w:r>
      <w:r w:rsidRPr="008D67ED">
        <w:rPr>
          <w:sz w:val="20"/>
          <w:szCs w:val="20"/>
          <w:lang w:val="en-US" w:eastAsia="uk-UA"/>
        </w:rPr>
        <w:t>;</w:t>
      </w:r>
      <w:r w:rsidRPr="008D67ED">
        <w:rPr>
          <w:sz w:val="20"/>
          <w:szCs w:val="20"/>
          <w:lang w:eastAsia="uk-UA"/>
        </w:rPr>
        <w:t xml:space="preserve"> </w:t>
      </w:r>
      <w:r w:rsidRPr="008D67ED">
        <w:rPr>
          <w:sz w:val="20"/>
          <w:szCs w:val="20"/>
          <w:lang w:val="en-US" w:eastAsia="uk-UA"/>
        </w:rPr>
        <w:t>2023. URL</w:t>
      </w:r>
      <w:r w:rsidRPr="008D67ED">
        <w:rPr>
          <w:sz w:val="20"/>
          <w:szCs w:val="20"/>
          <w:lang w:eastAsia="uk-UA"/>
        </w:rPr>
        <w:t>:</w:t>
      </w:r>
      <w:r w:rsidRPr="008D67ED">
        <w:rPr>
          <w:rFonts w:ascii="Calibri" w:hAnsi="Calibri" w:cs="Calibri"/>
          <w:sz w:val="20"/>
          <w:szCs w:val="20"/>
          <w:lang w:eastAsia="uk-UA"/>
        </w:rPr>
        <w:t xml:space="preserve"> </w:t>
      </w:r>
      <w:r w:rsidRPr="008D67ED">
        <w:rPr>
          <w:sz w:val="20"/>
          <w:szCs w:val="20"/>
          <w:lang w:eastAsia="uk-UA"/>
        </w:rPr>
        <w:t>https://surl.li/qnwxyx (04.05.2026) [</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kern w:val="28"/>
          <w:sz w:val="20"/>
          <w:szCs w:val="20"/>
          <w:lang w:eastAsia="uk-UA"/>
        </w:rPr>
        <w:t>Slyvka L. Zdoroviazberezhuvalne vykhovannia uchniv zahalnoosvitnikh shkil Polshchi (</w:t>
      </w:r>
      <w:r w:rsidRPr="008D67ED">
        <w:rPr>
          <w:kern w:val="28"/>
          <w:sz w:val="20"/>
          <w:szCs w:val="20"/>
          <w:lang w:val="en-US" w:eastAsia="uk-UA"/>
        </w:rPr>
        <w:t>XX</w:t>
      </w:r>
      <w:r w:rsidRPr="008D67ED">
        <w:rPr>
          <w:kern w:val="28"/>
          <w:sz w:val="20"/>
          <w:szCs w:val="20"/>
          <w:lang w:eastAsia="uk-UA"/>
        </w:rPr>
        <w:t xml:space="preserve"> ‒ pochatok</w:t>
      </w:r>
      <w:r w:rsidRPr="008D67ED">
        <w:rPr>
          <w:kern w:val="28"/>
          <w:sz w:val="20"/>
          <w:szCs w:val="20"/>
          <w:lang w:val="en-US" w:eastAsia="uk-UA"/>
        </w:rPr>
        <w:t xml:space="preserve"> XX</w:t>
      </w:r>
      <w:r w:rsidRPr="008D67ED">
        <w:rPr>
          <w:kern w:val="28"/>
          <w:sz w:val="20"/>
          <w:szCs w:val="20"/>
          <w:lang w:eastAsia="uk-UA"/>
        </w:rPr>
        <w:t xml:space="preserve">I stolittia) </w:t>
      </w:r>
      <w:r w:rsidRPr="008D67ED">
        <w:rPr>
          <w:sz w:val="20"/>
          <w:szCs w:val="20"/>
          <w:lang w:eastAsia="uk-UA"/>
        </w:rPr>
        <w:t>[Health-preserving education of students in secondary schools in Poland (XX ‒ early XXI century)]</w:t>
      </w:r>
      <w:r w:rsidRPr="008D67ED">
        <w:rPr>
          <w:kern w:val="28"/>
          <w:sz w:val="20"/>
          <w:szCs w:val="20"/>
          <w:lang w:eastAsia="uk-UA"/>
        </w:rPr>
        <w:t>: monohrafiia. Ivano-Frankivsk: Dyskursus</w:t>
      </w:r>
      <w:r w:rsidRPr="008D67ED">
        <w:rPr>
          <w:kern w:val="28"/>
          <w:sz w:val="20"/>
          <w:szCs w:val="20"/>
          <w:lang w:val="en-US" w:eastAsia="uk-UA"/>
        </w:rPr>
        <w:t xml:space="preserve">; </w:t>
      </w:r>
      <w:r w:rsidRPr="008D67ED">
        <w:rPr>
          <w:kern w:val="28"/>
          <w:sz w:val="20"/>
          <w:szCs w:val="20"/>
          <w:lang w:eastAsia="uk-UA"/>
        </w:rPr>
        <w:t>2022. 588</w:t>
      </w:r>
      <w:r w:rsidRPr="008D67ED">
        <w:rPr>
          <w:kern w:val="28"/>
          <w:sz w:val="20"/>
          <w:szCs w:val="20"/>
          <w:lang w:val="en-US" w:eastAsia="uk-UA"/>
        </w:rPr>
        <w:t> p</w:t>
      </w:r>
      <w:r w:rsidRPr="008D67ED">
        <w:rPr>
          <w:kern w:val="28"/>
          <w:sz w:val="20"/>
          <w:szCs w:val="20"/>
          <w:lang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z w:val="20"/>
          <w:szCs w:val="20"/>
          <w:lang w:eastAsia="uk-UA"/>
        </w:rPr>
        <w:t xml:space="preserve">Slyvka L. Rekreatsiino-zdoroviazberezhuvalnyi vymir orhanizatsii vilnoho chasu ditei i yunatstva u Polshchi naprykintsi </w:t>
      </w:r>
      <w:r w:rsidRPr="008D67ED">
        <w:rPr>
          <w:sz w:val="20"/>
          <w:szCs w:val="20"/>
          <w:lang w:val="en-US" w:eastAsia="uk-UA"/>
        </w:rPr>
        <w:t>X</w:t>
      </w:r>
      <w:r w:rsidRPr="008D67ED">
        <w:rPr>
          <w:sz w:val="20"/>
          <w:szCs w:val="20"/>
          <w:lang w:eastAsia="uk-UA"/>
        </w:rPr>
        <w:t>I</w:t>
      </w:r>
      <w:r w:rsidRPr="008D67ED">
        <w:rPr>
          <w:sz w:val="20"/>
          <w:szCs w:val="20"/>
          <w:lang w:val="en-US" w:eastAsia="uk-UA"/>
        </w:rPr>
        <w:t>X</w:t>
      </w:r>
      <w:r w:rsidRPr="008D67ED">
        <w:rPr>
          <w:sz w:val="20"/>
          <w:szCs w:val="20"/>
          <w:lang w:eastAsia="uk-UA"/>
        </w:rPr>
        <w:t xml:space="preserve"> ‒ na pochatku </w:t>
      </w:r>
      <w:r w:rsidRPr="008D67ED">
        <w:rPr>
          <w:sz w:val="20"/>
          <w:szCs w:val="20"/>
          <w:lang w:val="en-US" w:eastAsia="uk-UA"/>
        </w:rPr>
        <w:t>XX </w:t>
      </w:r>
      <w:r w:rsidRPr="008D67ED">
        <w:rPr>
          <w:sz w:val="20"/>
          <w:szCs w:val="20"/>
          <w:lang w:eastAsia="uk-UA"/>
        </w:rPr>
        <w:t>st.: fizychne vykhovannia u parkakh imeni Henryka Yordana [Recreational and health-preserving dimension of organizing children’s and youth’s free time in Poland in the late 19th and early 20th centuries: physical education in Henryk Jordan Parks]. Molod i rynok</w:t>
      </w:r>
      <w:r w:rsidRPr="008D67ED">
        <w:rPr>
          <w:sz w:val="20"/>
          <w:szCs w:val="20"/>
          <w:lang w:val="en-US" w:eastAsia="uk-UA"/>
        </w:rPr>
        <w:t>.</w:t>
      </w:r>
      <w:r w:rsidRPr="008D67ED">
        <w:rPr>
          <w:sz w:val="20"/>
          <w:szCs w:val="20"/>
          <w:lang w:eastAsia="uk-UA"/>
        </w:rPr>
        <w:t xml:space="preserve"> </w:t>
      </w:r>
      <w:r w:rsidRPr="008D67ED">
        <w:rPr>
          <w:sz w:val="20"/>
          <w:szCs w:val="20"/>
          <w:lang w:val="en-US" w:eastAsia="uk-UA"/>
        </w:rPr>
        <w:t xml:space="preserve">2024; </w:t>
      </w:r>
      <w:r w:rsidRPr="008D67ED">
        <w:rPr>
          <w:sz w:val="20"/>
          <w:szCs w:val="20"/>
          <w:lang w:eastAsia="uk-UA"/>
        </w:rPr>
        <w:t>2(222):26</w:t>
      </w:r>
      <w:r w:rsidRPr="008D67ED">
        <w:rPr>
          <w:sz w:val="20"/>
          <w:szCs w:val="20"/>
          <w:lang w:val="en-US" w:eastAsia="uk-UA"/>
        </w:rPr>
        <w:t>-</w:t>
      </w:r>
      <w:r w:rsidRPr="008D67ED">
        <w:rPr>
          <w:sz w:val="20"/>
          <w:szCs w:val="20"/>
          <w:lang w:eastAsia="uk-UA"/>
        </w:rPr>
        <w:t xml:space="preserve">30. </w:t>
      </w:r>
      <w:r w:rsidRPr="008D67ED">
        <w:rPr>
          <w:rFonts w:eastAsia="CIDFont+F2"/>
          <w:sz w:val="20"/>
          <w:szCs w:val="20"/>
          <w:lang w:eastAsia="uk-UA"/>
        </w:rPr>
        <w:t xml:space="preserve">DOI: </w:t>
      </w:r>
      <w:hyperlink r:id="rId190" w:history="1">
        <w:r w:rsidRPr="008D67ED">
          <w:rPr>
            <w:rFonts w:eastAsia="CIDFont+F2"/>
            <w:color w:val="0000FF"/>
            <w:sz w:val="20"/>
            <w:szCs w:val="20"/>
            <w:u w:val="single"/>
            <w:lang w:eastAsia="uk-UA"/>
          </w:rPr>
          <w:t>https://doi.org/10.24919/2308-4634.2024.300083</w:t>
        </w:r>
      </w:hyperlink>
      <w:r w:rsidRPr="008D67ED">
        <w:rPr>
          <w:rFonts w:eastAsia="CIDFont+F2"/>
          <w:sz w:val="20"/>
          <w:szCs w:val="20"/>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kern w:val="28"/>
          <w:sz w:val="20"/>
          <w:szCs w:val="20"/>
          <w:lang w:val="en-US" w:eastAsia="uk-UA"/>
        </w:rPr>
        <w:t>Fili</w:t>
      </w:r>
      <w:r w:rsidRPr="008D67ED">
        <w:rPr>
          <w:kern w:val="28"/>
          <w:sz w:val="20"/>
          <w:szCs w:val="20"/>
          <w:lang w:eastAsia="uk-UA"/>
        </w:rPr>
        <w:t>ń</w:t>
      </w:r>
      <w:r w:rsidRPr="008D67ED">
        <w:rPr>
          <w:kern w:val="28"/>
          <w:sz w:val="20"/>
          <w:szCs w:val="20"/>
          <w:lang w:val="en-US" w:eastAsia="uk-UA"/>
        </w:rPr>
        <w:t>ski</w:t>
      </w:r>
      <w:r w:rsidRPr="008D67ED">
        <w:rPr>
          <w:kern w:val="28"/>
          <w:sz w:val="20"/>
          <w:szCs w:val="20"/>
          <w:lang w:eastAsia="uk-UA"/>
        </w:rPr>
        <w:t xml:space="preserve"> В. </w:t>
      </w:r>
      <w:r w:rsidRPr="008D67ED">
        <w:rPr>
          <w:kern w:val="28"/>
          <w:sz w:val="20"/>
          <w:szCs w:val="20"/>
          <w:lang w:val="en-US" w:eastAsia="uk-UA"/>
        </w:rPr>
        <w:t>Park</w:t>
      </w:r>
      <w:r w:rsidRPr="008D67ED">
        <w:rPr>
          <w:kern w:val="28"/>
          <w:sz w:val="20"/>
          <w:szCs w:val="20"/>
          <w:lang w:eastAsia="uk-UA"/>
        </w:rPr>
        <w:t xml:space="preserve"> </w:t>
      </w:r>
      <w:r w:rsidRPr="008D67ED">
        <w:rPr>
          <w:kern w:val="28"/>
          <w:sz w:val="20"/>
          <w:szCs w:val="20"/>
          <w:lang w:val="en-US" w:eastAsia="uk-UA"/>
        </w:rPr>
        <w:t>D-ra</w:t>
      </w:r>
      <w:r w:rsidRPr="008D67ED">
        <w:rPr>
          <w:kern w:val="28"/>
          <w:sz w:val="20"/>
          <w:szCs w:val="20"/>
          <w:lang w:eastAsia="uk-UA"/>
        </w:rPr>
        <w:t xml:space="preserve"> </w:t>
      </w:r>
      <w:r w:rsidRPr="008D67ED">
        <w:rPr>
          <w:kern w:val="28"/>
          <w:sz w:val="20"/>
          <w:szCs w:val="20"/>
          <w:lang w:val="en-US" w:eastAsia="uk-UA"/>
        </w:rPr>
        <w:t>Jordana</w:t>
      </w:r>
      <w:r w:rsidRPr="008D67ED">
        <w:rPr>
          <w:kern w:val="28"/>
          <w:sz w:val="20"/>
          <w:szCs w:val="20"/>
          <w:lang w:eastAsia="uk-UA"/>
        </w:rPr>
        <w:t xml:space="preserve"> </w:t>
      </w:r>
      <w:r w:rsidRPr="008D67ED">
        <w:rPr>
          <w:kern w:val="28"/>
          <w:sz w:val="20"/>
          <w:szCs w:val="20"/>
          <w:lang w:val="en-US" w:eastAsia="uk-UA"/>
        </w:rPr>
        <w:t>i</w:t>
      </w:r>
      <w:r w:rsidRPr="008D67ED">
        <w:rPr>
          <w:kern w:val="28"/>
          <w:sz w:val="20"/>
          <w:szCs w:val="20"/>
          <w:lang w:eastAsia="uk-UA"/>
        </w:rPr>
        <w:t xml:space="preserve"> </w:t>
      </w:r>
      <w:r w:rsidRPr="008D67ED">
        <w:rPr>
          <w:kern w:val="28"/>
          <w:sz w:val="20"/>
          <w:szCs w:val="20"/>
          <w:lang w:val="en-US" w:eastAsia="uk-UA"/>
        </w:rPr>
        <w:t>kilka</w:t>
      </w:r>
      <w:r w:rsidRPr="008D67ED">
        <w:rPr>
          <w:kern w:val="28"/>
          <w:sz w:val="20"/>
          <w:szCs w:val="20"/>
          <w:lang w:eastAsia="uk-UA"/>
        </w:rPr>
        <w:t xml:space="preserve"> </w:t>
      </w:r>
      <w:r w:rsidRPr="008D67ED">
        <w:rPr>
          <w:kern w:val="28"/>
          <w:sz w:val="20"/>
          <w:szCs w:val="20"/>
          <w:lang w:val="en-US" w:eastAsia="uk-UA"/>
        </w:rPr>
        <w:t>uwag</w:t>
      </w:r>
      <w:r w:rsidRPr="008D67ED">
        <w:rPr>
          <w:kern w:val="28"/>
          <w:sz w:val="20"/>
          <w:szCs w:val="20"/>
          <w:lang w:eastAsia="uk-UA"/>
        </w:rPr>
        <w:t xml:space="preserve"> </w:t>
      </w:r>
      <w:r w:rsidRPr="008D67ED">
        <w:rPr>
          <w:kern w:val="28"/>
          <w:sz w:val="20"/>
          <w:szCs w:val="20"/>
          <w:lang w:val="en-US" w:eastAsia="uk-UA"/>
        </w:rPr>
        <w:t>o</w:t>
      </w:r>
      <w:r w:rsidRPr="008D67ED">
        <w:rPr>
          <w:kern w:val="28"/>
          <w:sz w:val="20"/>
          <w:szCs w:val="20"/>
          <w:lang w:eastAsia="uk-UA"/>
        </w:rPr>
        <w:t xml:space="preserve"> </w:t>
      </w:r>
      <w:r w:rsidRPr="008D67ED">
        <w:rPr>
          <w:kern w:val="28"/>
          <w:sz w:val="20"/>
          <w:szCs w:val="20"/>
          <w:lang w:val="en-US" w:eastAsia="uk-UA"/>
        </w:rPr>
        <w:t>wychowaniu</w:t>
      </w:r>
      <w:r w:rsidRPr="008D67ED">
        <w:rPr>
          <w:kern w:val="28"/>
          <w:sz w:val="20"/>
          <w:szCs w:val="20"/>
          <w:lang w:eastAsia="uk-UA"/>
        </w:rPr>
        <w:t xml:space="preserve"> </w:t>
      </w:r>
      <w:r w:rsidRPr="008D67ED">
        <w:rPr>
          <w:sz w:val="20"/>
          <w:szCs w:val="20"/>
          <w:lang w:eastAsia="uk-UA"/>
        </w:rPr>
        <w:t>[</w:t>
      </w:r>
      <w:r w:rsidRPr="008D67ED">
        <w:rPr>
          <w:sz w:val="20"/>
          <w:szCs w:val="20"/>
          <w:lang w:val="en-US" w:eastAsia="uk-UA"/>
        </w:rPr>
        <w:t>Dr</w:t>
      </w:r>
      <w:r w:rsidRPr="008D67ED">
        <w:rPr>
          <w:sz w:val="20"/>
          <w:szCs w:val="20"/>
          <w:lang w:eastAsia="uk-UA"/>
        </w:rPr>
        <w:t xml:space="preserve">. </w:t>
      </w:r>
      <w:r w:rsidRPr="008D67ED">
        <w:rPr>
          <w:sz w:val="20"/>
          <w:szCs w:val="20"/>
          <w:lang w:val="en-US" w:eastAsia="uk-UA"/>
        </w:rPr>
        <w:t>Jordan</w:t>
      </w:r>
      <w:r w:rsidRPr="008D67ED">
        <w:rPr>
          <w:sz w:val="20"/>
          <w:szCs w:val="20"/>
          <w:lang w:eastAsia="uk-UA"/>
        </w:rPr>
        <w:t>’</w:t>
      </w:r>
      <w:r w:rsidRPr="008D67ED">
        <w:rPr>
          <w:sz w:val="20"/>
          <w:szCs w:val="20"/>
          <w:lang w:val="en-US" w:eastAsia="uk-UA"/>
        </w:rPr>
        <w:t>s</w:t>
      </w:r>
      <w:r w:rsidRPr="008D67ED">
        <w:rPr>
          <w:sz w:val="20"/>
          <w:szCs w:val="20"/>
          <w:lang w:eastAsia="uk-UA"/>
        </w:rPr>
        <w:t xml:space="preserve"> </w:t>
      </w:r>
      <w:r w:rsidRPr="008D67ED">
        <w:rPr>
          <w:sz w:val="20"/>
          <w:szCs w:val="20"/>
          <w:lang w:val="en-US" w:eastAsia="uk-UA"/>
        </w:rPr>
        <w:t>Park</w:t>
      </w:r>
      <w:r w:rsidRPr="008D67ED">
        <w:rPr>
          <w:sz w:val="20"/>
          <w:szCs w:val="20"/>
          <w:lang w:eastAsia="uk-UA"/>
        </w:rPr>
        <w:t xml:space="preserve"> </w:t>
      </w:r>
      <w:r w:rsidRPr="008D67ED">
        <w:rPr>
          <w:sz w:val="20"/>
          <w:szCs w:val="20"/>
          <w:lang w:val="en-US" w:eastAsia="uk-UA"/>
        </w:rPr>
        <w:t>and</w:t>
      </w:r>
      <w:r w:rsidRPr="008D67ED">
        <w:rPr>
          <w:sz w:val="20"/>
          <w:szCs w:val="20"/>
          <w:lang w:eastAsia="uk-UA"/>
        </w:rPr>
        <w:t xml:space="preserve"> </w:t>
      </w:r>
      <w:r w:rsidRPr="008D67ED">
        <w:rPr>
          <w:sz w:val="20"/>
          <w:szCs w:val="20"/>
          <w:lang w:val="en-US" w:eastAsia="uk-UA"/>
        </w:rPr>
        <w:t>Some</w:t>
      </w:r>
      <w:r w:rsidRPr="008D67ED">
        <w:rPr>
          <w:sz w:val="20"/>
          <w:szCs w:val="20"/>
          <w:lang w:eastAsia="uk-UA"/>
        </w:rPr>
        <w:t xml:space="preserve"> </w:t>
      </w:r>
      <w:r w:rsidRPr="008D67ED">
        <w:rPr>
          <w:sz w:val="20"/>
          <w:szCs w:val="20"/>
          <w:lang w:val="en-US" w:eastAsia="uk-UA"/>
        </w:rPr>
        <w:t>Remarks</w:t>
      </w:r>
      <w:r w:rsidRPr="008D67ED">
        <w:rPr>
          <w:sz w:val="20"/>
          <w:szCs w:val="20"/>
          <w:lang w:eastAsia="uk-UA"/>
        </w:rPr>
        <w:t xml:space="preserve"> </w:t>
      </w:r>
      <w:r w:rsidRPr="008D67ED">
        <w:rPr>
          <w:sz w:val="20"/>
          <w:szCs w:val="20"/>
          <w:lang w:val="en-US" w:eastAsia="uk-UA"/>
        </w:rPr>
        <w:t>on</w:t>
      </w:r>
      <w:r w:rsidRPr="008D67ED">
        <w:rPr>
          <w:sz w:val="20"/>
          <w:szCs w:val="20"/>
          <w:lang w:eastAsia="uk-UA"/>
        </w:rPr>
        <w:t xml:space="preserve"> </w:t>
      </w:r>
      <w:r w:rsidRPr="008D67ED">
        <w:rPr>
          <w:sz w:val="20"/>
          <w:szCs w:val="20"/>
          <w:lang w:val="en-US" w:eastAsia="uk-UA"/>
        </w:rPr>
        <w:t>Education</w:t>
      </w:r>
      <w:r w:rsidRPr="008D67ED">
        <w:rPr>
          <w:sz w:val="20"/>
          <w:szCs w:val="20"/>
          <w:lang w:eastAsia="uk-UA"/>
        </w:rPr>
        <w:t>]</w:t>
      </w:r>
      <w:r w:rsidRPr="008D67ED">
        <w:rPr>
          <w:kern w:val="28"/>
          <w:sz w:val="20"/>
          <w:szCs w:val="20"/>
          <w:lang w:eastAsia="uk-UA"/>
        </w:rPr>
        <w:t xml:space="preserve">. Kraków: </w:t>
      </w:r>
      <w:r w:rsidRPr="008D67ED">
        <w:rPr>
          <w:kern w:val="28"/>
          <w:sz w:val="20"/>
          <w:szCs w:val="20"/>
          <w:lang w:val="en-US" w:eastAsia="uk-UA"/>
        </w:rPr>
        <w:t>A</w:t>
      </w:r>
      <w:r w:rsidRPr="008D67ED">
        <w:rPr>
          <w:kern w:val="28"/>
          <w:sz w:val="20"/>
          <w:szCs w:val="20"/>
          <w:lang w:eastAsia="uk-UA"/>
        </w:rPr>
        <w:t>.</w:t>
      </w:r>
      <w:r w:rsidRPr="008D67ED">
        <w:rPr>
          <w:kern w:val="28"/>
          <w:sz w:val="20"/>
          <w:szCs w:val="20"/>
          <w:lang w:val="en-US" w:eastAsia="uk-UA"/>
        </w:rPr>
        <w:t> S</w:t>
      </w:r>
      <w:r w:rsidRPr="008D67ED">
        <w:rPr>
          <w:kern w:val="28"/>
          <w:sz w:val="20"/>
          <w:szCs w:val="20"/>
          <w:lang w:eastAsia="uk-UA"/>
        </w:rPr>
        <w:t>ł</w:t>
      </w:r>
      <w:r w:rsidRPr="008D67ED">
        <w:rPr>
          <w:kern w:val="28"/>
          <w:sz w:val="20"/>
          <w:szCs w:val="20"/>
          <w:lang w:val="en-US" w:eastAsia="uk-UA"/>
        </w:rPr>
        <w:t>omski;</w:t>
      </w:r>
      <w:r w:rsidRPr="008D67ED">
        <w:rPr>
          <w:kern w:val="28"/>
          <w:sz w:val="20"/>
          <w:szCs w:val="20"/>
          <w:lang w:eastAsia="uk-UA"/>
        </w:rPr>
        <w:t xml:space="preserve"> 1891</w:t>
      </w:r>
      <w:r w:rsidRPr="008D67ED">
        <w:rPr>
          <w:kern w:val="28"/>
          <w:sz w:val="20"/>
          <w:szCs w:val="20"/>
          <w:lang w:val="en-US" w:eastAsia="uk-UA"/>
        </w:rPr>
        <w:t xml:space="preserve">. </w:t>
      </w:r>
      <w:r w:rsidRPr="008D67ED">
        <w:rPr>
          <w:kern w:val="28"/>
          <w:sz w:val="20"/>
          <w:szCs w:val="20"/>
          <w:lang w:eastAsia="uk-UA"/>
        </w:rPr>
        <w:t>88</w:t>
      </w:r>
      <w:r w:rsidRPr="008D67ED">
        <w:rPr>
          <w:kern w:val="28"/>
          <w:sz w:val="20"/>
          <w:szCs w:val="20"/>
          <w:lang w:val="en-US" w:eastAsia="uk-UA"/>
        </w:rPr>
        <w:t> p</w:t>
      </w:r>
      <w:r w:rsidRPr="008D67ED">
        <w:rPr>
          <w:kern w:val="28"/>
          <w:sz w:val="20"/>
          <w:szCs w:val="20"/>
          <w:lang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rFonts w:eastAsia="TimesNewRomanPSMT"/>
          <w:sz w:val="20"/>
          <w:szCs w:val="20"/>
          <w:lang w:val="en-US" w:eastAsia="uk-UA"/>
        </w:rPr>
        <w:t>Piasecki</w:t>
      </w:r>
      <w:r w:rsidRPr="008D67ED">
        <w:rPr>
          <w:rFonts w:eastAsia="TimesNewRomanPSMT"/>
          <w:sz w:val="20"/>
          <w:szCs w:val="20"/>
          <w:lang w:eastAsia="uk-UA"/>
        </w:rPr>
        <w:t xml:space="preserve"> </w:t>
      </w:r>
      <w:r w:rsidRPr="008D67ED">
        <w:rPr>
          <w:rFonts w:eastAsia="TimesNewRomanPSMT"/>
          <w:sz w:val="20"/>
          <w:szCs w:val="20"/>
          <w:lang w:val="en-US" w:eastAsia="uk-UA"/>
        </w:rPr>
        <w:t>E</w:t>
      </w:r>
      <w:r w:rsidRPr="008D67ED">
        <w:rPr>
          <w:rFonts w:eastAsia="TimesNewRomanPSMT"/>
          <w:sz w:val="20"/>
          <w:szCs w:val="20"/>
          <w:lang w:eastAsia="uk-UA"/>
        </w:rPr>
        <w:t xml:space="preserve">. Parki Jordanowskie: </w:t>
      </w:r>
      <w:r w:rsidRPr="008D67ED">
        <w:rPr>
          <w:rFonts w:eastAsia="TimesNewRomanPSMT"/>
          <w:sz w:val="20"/>
          <w:szCs w:val="20"/>
          <w:lang w:val="en-US" w:eastAsia="uk-UA"/>
        </w:rPr>
        <w:t>sprawozdanie</w:t>
      </w:r>
      <w:r w:rsidRPr="008D67ED">
        <w:rPr>
          <w:rFonts w:eastAsia="TimesNewRomanPSMT"/>
          <w:sz w:val="20"/>
          <w:szCs w:val="20"/>
          <w:lang w:eastAsia="uk-UA"/>
        </w:rPr>
        <w:t xml:space="preserve">, </w:t>
      </w:r>
      <w:r w:rsidRPr="008D67ED">
        <w:rPr>
          <w:rFonts w:eastAsia="TimesNewRomanPSMT"/>
          <w:sz w:val="20"/>
          <w:szCs w:val="20"/>
          <w:lang w:val="en-US" w:eastAsia="uk-UA"/>
        </w:rPr>
        <w:t>przed</w:t>
      </w:r>
      <w:r w:rsidRPr="008D67ED">
        <w:rPr>
          <w:rFonts w:eastAsia="TimesNewRomanPSMT"/>
          <w:sz w:val="20"/>
          <w:szCs w:val="20"/>
          <w:lang w:eastAsia="uk-UA"/>
        </w:rPr>
        <w:t>ł</w:t>
      </w:r>
      <w:r w:rsidRPr="008D67ED">
        <w:rPr>
          <w:rFonts w:eastAsia="TimesNewRomanPSMT"/>
          <w:sz w:val="20"/>
          <w:szCs w:val="20"/>
          <w:lang w:val="en-US" w:eastAsia="uk-UA"/>
        </w:rPr>
        <w:t>o</w:t>
      </w:r>
      <w:r w:rsidRPr="008D67ED">
        <w:rPr>
          <w:rFonts w:eastAsia="TimesNewRomanPSMT"/>
          <w:sz w:val="20"/>
          <w:szCs w:val="20"/>
          <w:lang w:eastAsia="uk-UA"/>
        </w:rPr>
        <w:t>ż</w:t>
      </w:r>
      <w:r w:rsidRPr="008D67ED">
        <w:rPr>
          <w:rFonts w:eastAsia="TimesNewRomanPSMT"/>
          <w:sz w:val="20"/>
          <w:szCs w:val="20"/>
          <w:lang w:val="en-US" w:eastAsia="uk-UA"/>
        </w:rPr>
        <w:t>one</w:t>
      </w:r>
      <w:r w:rsidRPr="008D67ED">
        <w:rPr>
          <w:rFonts w:eastAsia="TimesNewRomanPSMT"/>
          <w:sz w:val="20"/>
          <w:szCs w:val="20"/>
          <w:lang w:eastAsia="uk-UA"/>
        </w:rPr>
        <w:t xml:space="preserve"> «</w:t>
      </w:r>
      <w:r w:rsidRPr="008D67ED">
        <w:rPr>
          <w:rFonts w:eastAsia="TimesNewRomanPSMT"/>
          <w:sz w:val="20"/>
          <w:szCs w:val="20"/>
          <w:lang w:val="en-US" w:eastAsia="uk-UA"/>
        </w:rPr>
        <w:t>Sta</w:t>
      </w:r>
      <w:r w:rsidRPr="008D67ED">
        <w:rPr>
          <w:rFonts w:eastAsia="TimesNewRomanPSMT"/>
          <w:sz w:val="20"/>
          <w:szCs w:val="20"/>
          <w:lang w:eastAsia="uk-UA"/>
        </w:rPr>
        <w:t>ł</w:t>
      </w:r>
      <w:r w:rsidRPr="008D67ED">
        <w:rPr>
          <w:rFonts w:eastAsia="TimesNewRomanPSMT"/>
          <w:sz w:val="20"/>
          <w:szCs w:val="20"/>
          <w:lang w:val="en-US" w:eastAsia="uk-UA"/>
        </w:rPr>
        <w:t>ej</w:t>
      </w:r>
      <w:r w:rsidRPr="008D67ED">
        <w:rPr>
          <w:rFonts w:eastAsia="TimesNewRomanPSMT"/>
          <w:sz w:val="20"/>
          <w:szCs w:val="20"/>
          <w:lang w:eastAsia="uk-UA"/>
        </w:rPr>
        <w:t xml:space="preserve"> </w:t>
      </w:r>
      <w:r w:rsidRPr="008D67ED">
        <w:rPr>
          <w:rFonts w:eastAsia="TimesNewRomanPSMT"/>
          <w:sz w:val="20"/>
          <w:szCs w:val="20"/>
          <w:lang w:val="en-US" w:eastAsia="uk-UA"/>
        </w:rPr>
        <w:t>komisyi</w:t>
      </w:r>
      <w:r w:rsidRPr="008D67ED">
        <w:rPr>
          <w:rFonts w:eastAsia="TimesNewRomanPSMT"/>
          <w:sz w:val="20"/>
          <w:szCs w:val="20"/>
          <w:lang w:eastAsia="uk-UA"/>
        </w:rPr>
        <w:t xml:space="preserve"> </w:t>
      </w:r>
      <w:r w:rsidRPr="008D67ED">
        <w:rPr>
          <w:rFonts w:eastAsia="TimesNewRomanPSMT"/>
          <w:sz w:val="20"/>
          <w:szCs w:val="20"/>
          <w:lang w:val="en-US" w:eastAsia="uk-UA"/>
        </w:rPr>
        <w:t>zdrowotnej</w:t>
      </w:r>
      <w:r w:rsidRPr="008D67ED">
        <w:rPr>
          <w:rFonts w:eastAsia="TimesNewRomanPSMT"/>
          <w:sz w:val="20"/>
          <w:szCs w:val="20"/>
          <w:lang w:eastAsia="uk-UA"/>
        </w:rPr>
        <w:t xml:space="preserve"> </w:t>
      </w:r>
      <w:r w:rsidRPr="008D67ED">
        <w:rPr>
          <w:rFonts w:eastAsia="TimesNewRomanPSMT"/>
          <w:sz w:val="20"/>
          <w:szCs w:val="20"/>
          <w:lang w:val="en-US" w:eastAsia="uk-UA"/>
        </w:rPr>
        <w:t>m</w:t>
      </w:r>
      <w:r w:rsidRPr="008D67ED">
        <w:rPr>
          <w:rFonts w:eastAsia="TimesNewRomanPSMT"/>
          <w:sz w:val="20"/>
          <w:szCs w:val="20"/>
          <w:lang w:eastAsia="uk-UA"/>
        </w:rPr>
        <w:t>.</w:t>
      </w:r>
      <w:r w:rsidRPr="008D67ED">
        <w:rPr>
          <w:rFonts w:eastAsia="TimesNewRomanPSMT"/>
          <w:sz w:val="20"/>
          <w:szCs w:val="20"/>
          <w:lang w:val="en-US" w:eastAsia="uk-UA"/>
        </w:rPr>
        <w:t> Lwowa</w:t>
      </w:r>
      <w:r w:rsidRPr="008D67ED">
        <w:rPr>
          <w:rFonts w:eastAsia="TimesNewRomanPSMT"/>
          <w:sz w:val="20"/>
          <w:szCs w:val="20"/>
          <w:lang w:eastAsia="uk-UA"/>
        </w:rPr>
        <w:t xml:space="preserve"> </w:t>
      </w:r>
      <w:r w:rsidRPr="008D67ED">
        <w:rPr>
          <w:rFonts w:eastAsia="TimesNewRomanPSMT"/>
          <w:sz w:val="20"/>
          <w:szCs w:val="20"/>
          <w:lang w:val="en-US" w:eastAsia="uk-UA"/>
        </w:rPr>
        <w:t>w</w:t>
      </w:r>
      <w:r w:rsidRPr="008D67ED">
        <w:rPr>
          <w:rFonts w:eastAsia="TimesNewRomanPSMT"/>
          <w:sz w:val="20"/>
          <w:szCs w:val="20"/>
          <w:lang w:eastAsia="uk-UA"/>
        </w:rPr>
        <w:t xml:space="preserve"> </w:t>
      </w:r>
      <w:r w:rsidRPr="008D67ED">
        <w:rPr>
          <w:rFonts w:eastAsia="TimesNewRomanPSMT"/>
          <w:sz w:val="20"/>
          <w:szCs w:val="20"/>
          <w:lang w:val="en-US" w:eastAsia="uk-UA"/>
        </w:rPr>
        <w:t>lutym</w:t>
      </w:r>
      <w:r w:rsidRPr="008D67ED">
        <w:rPr>
          <w:rFonts w:eastAsia="TimesNewRomanPSMT"/>
          <w:sz w:val="20"/>
          <w:szCs w:val="20"/>
          <w:lang w:eastAsia="uk-UA"/>
        </w:rPr>
        <w:t xml:space="preserve"> 1907 [Jordan Parks: report submitted to the Permanent Health Commission of the City of Lviv in February 1907]. Lwów</w:t>
      </w:r>
      <w:r w:rsidRPr="008D67ED">
        <w:rPr>
          <w:rFonts w:eastAsia="TimesNewRomanPSMT"/>
          <w:sz w:val="20"/>
          <w:szCs w:val="20"/>
          <w:lang w:val="en-US" w:eastAsia="uk-UA"/>
        </w:rPr>
        <w:t>;1907</w:t>
      </w:r>
      <w:r w:rsidRPr="008D67ED">
        <w:rPr>
          <w:rFonts w:eastAsia="TimesNewRomanPSMT"/>
          <w:sz w:val="20"/>
          <w:szCs w:val="20"/>
          <w:lang w:eastAsia="uk-UA"/>
        </w:rPr>
        <w:t>. 29 s.</w:t>
      </w:r>
      <w:r w:rsidRPr="008D67ED">
        <w:rPr>
          <w:rFonts w:eastAsia="TimesNewRomanPSMT"/>
          <w:sz w:val="20"/>
          <w:szCs w:val="20"/>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z w:val="20"/>
          <w:szCs w:val="20"/>
          <w:shd w:val="clear" w:color="auto" w:fill="FFFFFF"/>
          <w:lang w:val="en-US" w:eastAsia="uk-UA"/>
        </w:rPr>
        <w:t>Wyrobek</w:t>
      </w:r>
      <w:r w:rsidRPr="008D67ED">
        <w:rPr>
          <w:sz w:val="20"/>
          <w:szCs w:val="20"/>
          <w:shd w:val="clear" w:color="auto" w:fill="FFFFFF"/>
          <w:lang w:eastAsia="uk-UA"/>
        </w:rPr>
        <w:t xml:space="preserve"> </w:t>
      </w:r>
      <w:r w:rsidRPr="008D67ED">
        <w:rPr>
          <w:sz w:val="20"/>
          <w:szCs w:val="20"/>
          <w:shd w:val="clear" w:color="auto" w:fill="FFFFFF"/>
          <w:lang w:val="en-US" w:eastAsia="uk-UA"/>
        </w:rPr>
        <w:t>Z</w:t>
      </w:r>
      <w:r w:rsidRPr="008D67ED">
        <w:rPr>
          <w:sz w:val="20"/>
          <w:szCs w:val="20"/>
          <w:shd w:val="clear" w:color="auto" w:fill="FFFFFF"/>
          <w:lang w:eastAsia="uk-UA"/>
        </w:rPr>
        <w:t>.</w:t>
      </w:r>
      <w:r w:rsidRPr="008D67ED">
        <w:rPr>
          <w:sz w:val="20"/>
          <w:szCs w:val="20"/>
          <w:shd w:val="clear" w:color="auto" w:fill="FFFFFF"/>
          <w:lang w:val="en-US" w:eastAsia="uk-UA"/>
        </w:rPr>
        <w:t xml:space="preserve"> Podj</w:t>
      </w:r>
      <w:r w:rsidRPr="008D67ED">
        <w:rPr>
          <w:sz w:val="20"/>
          <w:szCs w:val="20"/>
          <w:shd w:val="clear" w:color="auto" w:fill="FFFFFF"/>
          <w:lang w:eastAsia="uk-UA"/>
        </w:rPr>
        <w:t>ę</w:t>
      </w:r>
      <w:r w:rsidRPr="008D67ED">
        <w:rPr>
          <w:sz w:val="20"/>
          <w:szCs w:val="20"/>
          <w:shd w:val="clear" w:color="auto" w:fill="FFFFFF"/>
          <w:lang w:val="en-US" w:eastAsia="uk-UA"/>
        </w:rPr>
        <w:t>cie</w:t>
      </w:r>
      <w:r w:rsidRPr="008D67ED">
        <w:rPr>
          <w:sz w:val="20"/>
          <w:szCs w:val="20"/>
          <w:shd w:val="clear" w:color="auto" w:fill="FFFFFF"/>
          <w:lang w:eastAsia="uk-UA"/>
        </w:rPr>
        <w:t xml:space="preserve"> </w:t>
      </w:r>
      <w:r w:rsidRPr="008D67ED">
        <w:rPr>
          <w:sz w:val="20"/>
          <w:szCs w:val="20"/>
          <w:shd w:val="clear" w:color="auto" w:fill="FFFFFF"/>
          <w:lang w:val="en-US" w:eastAsia="uk-UA"/>
        </w:rPr>
        <w:t>idei</w:t>
      </w:r>
      <w:r w:rsidRPr="008D67ED">
        <w:rPr>
          <w:sz w:val="20"/>
          <w:szCs w:val="20"/>
          <w:shd w:val="clear" w:color="auto" w:fill="FFFFFF"/>
          <w:lang w:eastAsia="uk-UA"/>
        </w:rPr>
        <w:t xml:space="preserve"> </w:t>
      </w:r>
      <w:r w:rsidRPr="008D67ED">
        <w:rPr>
          <w:sz w:val="20"/>
          <w:szCs w:val="20"/>
          <w:shd w:val="clear" w:color="auto" w:fill="FFFFFF"/>
          <w:lang w:val="en-US" w:eastAsia="uk-UA"/>
        </w:rPr>
        <w:t>Jordanowskiej</w:t>
      </w:r>
      <w:r w:rsidRPr="008D67ED">
        <w:rPr>
          <w:sz w:val="20"/>
          <w:szCs w:val="20"/>
          <w:shd w:val="clear" w:color="auto" w:fill="FFFFFF"/>
          <w:lang w:eastAsia="uk-UA"/>
        </w:rPr>
        <w:t xml:space="preserve"> – </w:t>
      </w:r>
      <w:r w:rsidRPr="008D67ED">
        <w:rPr>
          <w:sz w:val="20"/>
          <w:szCs w:val="20"/>
          <w:shd w:val="clear" w:color="auto" w:fill="FFFFFF"/>
          <w:lang w:val="en-US" w:eastAsia="uk-UA"/>
        </w:rPr>
        <w:t>zadaniem</w:t>
      </w:r>
      <w:r w:rsidRPr="008D67ED">
        <w:rPr>
          <w:sz w:val="20"/>
          <w:szCs w:val="20"/>
          <w:shd w:val="clear" w:color="auto" w:fill="FFFFFF"/>
          <w:lang w:eastAsia="uk-UA"/>
        </w:rPr>
        <w:t xml:space="preserve"> </w:t>
      </w:r>
      <w:r w:rsidRPr="008D67ED">
        <w:rPr>
          <w:sz w:val="20"/>
          <w:szCs w:val="20"/>
          <w:shd w:val="clear" w:color="auto" w:fill="FFFFFF"/>
          <w:lang w:val="en-US" w:eastAsia="uk-UA"/>
        </w:rPr>
        <w:t>sekcji</w:t>
      </w:r>
      <w:r w:rsidRPr="008D67ED">
        <w:rPr>
          <w:sz w:val="20"/>
          <w:szCs w:val="20"/>
          <w:shd w:val="clear" w:color="auto" w:fill="FFFFFF"/>
          <w:lang w:eastAsia="uk-UA"/>
        </w:rPr>
        <w:t xml:space="preserve"> </w:t>
      </w:r>
      <w:r w:rsidRPr="008D67ED">
        <w:rPr>
          <w:sz w:val="20"/>
          <w:szCs w:val="20"/>
          <w:shd w:val="clear" w:color="auto" w:fill="FFFFFF"/>
          <w:lang w:val="en-US" w:eastAsia="uk-UA"/>
        </w:rPr>
        <w:t>wychowania</w:t>
      </w:r>
      <w:r w:rsidRPr="008D67ED">
        <w:rPr>
          <w:sz w:val="20"/>
          <w:szCs w:val="20"/>
          <w:shd w:val="clear" w:color="auto" w:fill="FFFFFF"/>
          <w:lang w:eastAsia="uk-UA"/>
        </w:rPr>
        <w:t xml:space="preserve"> </w:t>
      </w:r>
      <w:r w:rsidRPr="008D67ED">
        <w:rPr>
          <w:sz w:val="20"/>
          <w:szCs w:val="20"/>
          <w:shd w:val="clear" w:color="auto" w:fill="FFFFFF"/>
          <w:lang w:val="en-US" w:eastAsia="uk-UA"/>
        </w:rPr>
        <w:t>fizycznego</w:t>
      </w:r>
      <w:r w:rsidRPr="008D67ED">
        <w:rPr>
          <w:sz w:val="20"/>
          <w:szCs w:val="20"/>
          <w:shd w:val="clear" w:color="auto" w:fill="FFFFFF"/>
          <w:lang w:eastAsia="uk-UA"/>
        </w:rPr>
        <w:t xml:space="preserve"> </w:t>
      </w:r>
      <w:r w:rsidRPr="008D67ED">
        <w:rPr>
          <w:sz w:val="20"/>
          <w:szCs w:val="20"/>
          <w:shd w:val="clear" w:color="auto" w:fill="FFFFFF"/>
          <w:lang w:val="en-US" w:eastAsia="uk-UA"/>
        </w:rPr>
        <w:t>i</w:t>
      </w:r>
      <w:r w:rsidRPr="008D67ED">
        <w:rPr>
          <w:sz w:val="20"/>
          <w:szCs w:val="20"/>
          <w:shd w:val="clear" w:color="auto" w:fill="FFFFFF"/>
          <w:lang w:eastAsia="uk-UA"/>
        </w:rPr>
        <w:t xml:space="preserve"> </w:t>
      </w:r>
      <w:r w:rsidRPr="008D67ED">
        <w:rPr>
          <w:sz w:val="20"/>
          <w:szCs w:val="20"/>
          <w:shd w:val="clear" w:color="auto" w:fill="FFFFFF"/>
          <w:lang w:val="en-US" w:eastAsia="uk-UA"/>
        </w:rPr>
        <w:t>higieny</w:t>
      </w:r>
      <w:r w:rsidRPr="008D67ED">
        <w:rPr>
          <w:sz w:val="20"/>
          <w:szCs w:val="20"/>
          <w:shd w:val="clear" w:color="auto" w:fill="FFFFFF"/>
          <w:lang w:eastAsia="uk-UA"/>
        </w:rPr>
        <w:t xml:space="preserve"> </w:t>
      </w:r>
      <w:r w:rsidRPr="008D67ED">
        <w:rPr>
          <w:sz w:val="20"/>
          <w:szCs w:val="20"/>
          <w:shd w:val="clear" w:color="auto" w:fill="FFFFFF"/>
          <w:lang w:val="en-US" w:eastAsia="uk-UA"/>
        </w:rPr>
        <w:t>szkolnej</w:t>
      </w:r>
      <w:r w:rsidRPr="008D67ED">
        <w:rPr>
          <w:sz w:val="20"/>
          <w:szCs w:val="20"/>
          <w:shd w:val="clear" w:color="auto" w:fill="FFFFFF"/>
          <w:lang w:eastAsia="uk-UA"/>
        </w:rPr>
        <w:t xml:space="preserve"> [Taking up the Jordan idea – the task of the physical education and school hygiene sections]. </w:t>
      </w:r>
      <w:r w:rsidRPr="008D67ED">
        <w:rPr>
          <w:i/>
          <w:sz w:val="20"/>
          <w:szCs w:val="20"/>
          <w:shd w:val="clear" w:color="auto" w:fill="FFFFFF"/>
          <w:lang w:eastAsia="uk-UA"/>
        </w:rPr>
        <w:t>Wychowanie Fizyczne</w:t>
      </w:r>
      <w:r w:rsidRPr="008D67ED">
        <w:rPr>
          <w:sz w:val="20"/>
          <w:szCs w:val="20"/>
          <w:shd w:val="clear" w:color="auto" w:fill="FFFFFF"/>
          <w:lang w:eastAsia="uk-UA"/>
        </w:rPr>
        <w:t xml:space="preserve">. </w:t>
      </w:r>
      <w:r w:rsidRPr="008D67ED">
        <w:rPr>
          <w:sz w:val="20"/>
          <w:szCs w:val="20"/>
          <w:shd w:val="clear" w:color="auto" w:fill="FFFFFF"/>
          <w:lang w:val="en-US" w:eastAsia="uk-UA"/>
        </w:rPr>
        <w:t>1927. Zesz</w:t>
      </w:r>
      <w:r w:rsidRPr="008D67ED">
        <w:rPr>
          <w:sz w:val="20"/>
          <w:szCs w:val="20"/>
          <w:shd w:val="clear" w:color="auto" w:fill="FFFFFF"/>
          <w:lang w:eastAsia="uk-UA"/>
        </w:rPr>
        <w:t>. 7–8</w:t>
      </w:r>
      <w:r w:rsidRPr="008D67ED">
        <w:rPr>
          <w:sz w:val="20"/>
          <w:szCs w:val="20"/>
          <w:shd w:val="clear" w:color="auto" w:fill="FFFFFF"/>
          <w:lang w:val="en-US" w:eastAsia="uk-UA"/>
        </w:rPr>
        <w:t xml:space="preserve">: </w:t>
      </w:r>
      <w:r w:rsidRPr="008D67ED">
        <w:rPr>
          <w:sz w:val="20"/>
          <w:szCs w:val="20"/>
          <w:shd w:val="clear" w:color="auto" w:fill="FFFFFF"/>
          <w:lang w:eastAsia="uk-UA"/>
        </w:rPr>
        <w:t>187.</w:t>
      </w:r>
      <w:r w:rsidRPr="008D67ED">
        <w:rPr>
          <w:sz w:val="20"/>
          <w:szCs w:val="20"/>
          <w:shd w:val="clear" w:color="auto" w:fill="FFFFFF"/>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color w:val="111111"/>
          <w:sz w:val="20"/>
          <w:szCs w:val="20"/>
          <w:shd w:val="clear" w:color="auto" w:fill="FFFFFF"/>
          <w:lang w:val="en-US" w:eastAsia="uk-UA"/>
        </w:rPr>
        <w:t>Godycki</w:t>
      </w:r>
      <w:r w:rsidRPr="008D67ED">
        <w:rPr>
          <w:color w:val="111111"/>
          <w:sz w:val="20"/>
          <w:szCs w:val="20"/>
          <w:shd w:val="clear" w:color="auto" w:fill="FFFFFF"/>
          <w:lang w:eastAsia="uk-UA"/>
        </w:rPr>
        <w:t xml:space="preserve"> </w:t>
      </w:r>
      <w:r w:rsidRPr="008D67ED">
        <w:rPr>
          <w:color w:val="111111"/>
          <w:sz w:val="20"/>
          <w:szCs w:val="20"/>
          <w:shd w:val="clear" w:color="auto" w:fill="FFFFFF"/>
          <w:lang w:val="en-US" w:eastAsia="uk-UA"/>
        </w:rPr>
        <w:t>M</w:t>
      </w:r>
      <w:r w:rsidRPr="008D67ED">
        <w:rPr>
          <w:color w:val="111111"/>
          <w:sz w:val="20"/>
          <w:szCs w:val="20"/>
          <w:shd w:val="clear" w:color="auto" w:fill="FFFFFF"/>
          <w:lang w:eastAsia="uk-UA"/>
        </w:rPr>
        <w:t>.</w:t>
      </w:r>
      <w:r w:rsidRPr="008D67ED">
        <w:rPr>
          <w:color w:val="111111"/>
          <w:sz w:val="20"/>
          <w:szCs w:val="20"/>
          <w:shd w:val="clear" w:color="auto" w:fill="FFFFFF"/>
          <w:lang w:val="en-US" w:eastAsia="uk-UA"/>
        </w:rPr>
        <w:t xml:space="preserve"> W</w:t>
      </w:r>
      <w:r w:rsidRPr="008D67ED">
        <w:rPr>
          <w:color w:val="111111"/>
          <w:sz w:val="20"/>
          <w:szCs w:val="20"/>
          <w:shd w:val="clear" w:color="auto" w:fill="FFFFFF"/>
          <w:lang w:eastAsia="uk-UA"/>
        </w:rPr>
        <w:t xml:space="preserve"> </w:t>
      </w:r>
      <w:r w:rsidRPr="008D67ED">
        <w:rPr>
          <w:color w:val="111111"/>
          <w:sz w:val="20"/>
          <w:szCs w:val="20"/>
          <w:shd w:val="clear" w:color="auto" w:fill="FFFFFF"/>
          <w:lang w:val="en-US" w:eastAsia="uk-UA"/>
        </w:rPr>
        <w:t>pi</w:t>
      </w:r>
      <w:r w:rsidRPr="008D67ED">
        <w:rPr>
          <w:color w:val="111111"/>
          <w:sz w:val="20"/>
          <w:szCs w:val="20"/>
          <w:shd w:val="clear" w:color="auto" w:fill="FFFFFF"/>
          <w:lang w:eastAsia="uk-UA"/>
        </w:rPr>
        <w:t>ęć</w:t>
      </w:r>
      <w:r w:rsidRPr="008D67ED">
        <w:rPr>
          <w:color w:val="111111"/>
          <w:sz w:val="20"/>
          <w:szCs w:val="20"/>
          <w:shd w:val="clear" w:color="auto" w:fill="FFFFFF"/>
          <w:lang w:val="en-US" w:eastAsia="uk-UA"/>
        </w:rPr>
        <w:t>dziesi</w:t>
      </w:r>
      <w:r w:rsidRPr="008D67ED">
        <w:rPr>
          <w:color w:val="111111"/>
          <w:sz w:val="20"/>
          <w:szCs w:val="20"/>
          <w:shd w:val="clear" w:color="auto" w:fill="FFFFFF"/>
          <w:lang w:eastAsia="uk-UA"/>
        </w:rPr>
        <w:t>ę</w:t>
      </w:r>
      <w:r w:rsidRPr="008D67ED">
        <w:rPr>
          <w:color w:val="111111"/>
          <w:sz w:val="20"/>
          <w:szCs w:val="20"/>
          <w:shd w:val="clear" w:color="auto" w:fill="FFFFFF"/>
          <w:lang w:val="en-US" w:eastAsia="uk-UA"/>
        </w:rPr>
        <w:t>ciolecie</w:t>
      </w:r>
      <w:r w:rsidRPr="008D67ED">
        <w:rPr>
          <w:color w:val="111111"/>
          <w:sz w:val="20"/>
          <w:szCs w:val="20"/>
          <w:shd w:val="clear" w:color="auto" w:fill="FFFFFF"/>
          <w:lang w:eastAsia="uk-UA"/>
        </w:rPr>
        <w:t xml:space="preserve"> </w:t>
      </w:r>
      <w:r w:rsidRPr="008D67ED">
        <w:rPr>
          <w:color w:val="111111"/>
          <w:sz w:val="20"/>
          <w:szCs w:val="20"/>
          <w:shd w:val="clear" w:color="auto" w:fill="FFFFFF"/>
          <w:lang w:val="en-US" w:eastAsia="uk-UA"/>
        </w:rPr>
        <w:t>Parku</w:t>
      </w:r>
      <w:r w:rsidRPr="008D67ED">
        <w:rPr>
          <w:color w:val="111111"/>
          <w:sz w:val="20"/>
          <w:szCs w:val="20"/>
          <w:shd w:val="clear" w:color="auto" w:fill="FFFFFF"/>
          <w:lang w:eastAsia="uk-UA"/>
        </w:rPr>
        <w:t xml:space="preserve"> </w:t>
      </w:r>
      <w:r w:rsidRPr="008D67ED">
        <w:rPr>
          <w:color w:val="111111"/>
          <w:sz w:val="20"/>
          <w:szCs w:val="20"/>
          <w:shd w:val="clear" w:color="auto" w:fill="FFFFFF"/>
          <w:lang w:val="en-US" w:eastAsia="uk-UA"/>
        </w:rPr>
        <w:t>Jordana</w:t>
      </w:r>
      <w:r w:rsidRPr="008D67ED">
        <w:rPr>
          <w:color w:val="111111"/>
          <w:sz w:val="20"/>
          <w:szCs w:val="20"/>
          <w:shd w:val="clear" w:color="auto" w:fill="FFFFFF"/>
          <w:lang w:eastAsia="uk-UA"/>
        </w:rPr>
        <w:t xml:space="preserve"> </w:t>
      </w:r>
      <w:r w:rsidRPr="008D67ED">
        <w:rPr>
          <w:sz w:val="20"/>
          <w:szCs w:val="20"/>
          <w:shd w:val="clear" w:color="auto" w:fill="FFFFFF"/>
          <w:lang w:eastAsia="uk-UA"/>
        </w:rPr>
        <w:t>[On the fiftieth anniversary of Jordan Park]</w:t>
      </w:r>
      <w:r w:rsidRPr="008D67ED">
        <w:rPr>
          <w:color w:val="111111"/>
          <w:sz w:val="20"/>
          <w:szCs w:val="20"/>
          <w:shd w:val="clear" w:color="auto" w:fill="FFFFFF"/>
          <w:lang w:eastAsia="uk-UA"/>
        </w:rPr>
        <w:t xml:space="preserve">. </w:t>
      </w:r>
      <w:r w:rsidRPr="008D67ED">
        <w:rPr>
          <w:i/>
          <w:color w:val="111111"/>
          <w:sz w:val="20"/>
          <w:szCs w:val="20"/>
          <w:shd w:val="clear" w:color="auto" w:fill="FFFFFF"/>
          <w:lang w:val="en-US" w:eastAsia="uk-UA"/>
        </w:rPr>
        <w:t>Higiena</w:t>
      </w:r>
      <w:r w:rsidRPr="008D67ED">
        <w:rPr>
          <w:i/>
          <w:color w:val="111111"/>
          <w:sz w:val="20"/>
          <w:szCs w:val="20"/>
          <w:shd w:val="clear" w:color="auto" w:fill="FFFFFF"/>
          <w:lang w:eastAsia="uk-UA"/>
        </w:rPr>
        <w:t xml:space="preserve"> </w:t>
      </w:r>
      <w:r w:rsidRPr="008D67ED">
        <w:rPr>
          <w:i/>
          <w:color w:val="111111"/>
          <w:sz w:val="20"/>
          <w:szCs w:val="20"/>
          <w:shd w:val="clear" w:color="auto" w:fill="FFFFFF"/>
          <w:lang w:val="en-US" w:eastAsia="uk-UA"/>
        </w:rPr>
        <w:t>Szkolna</w:t>
      </w:r>
      <w:r w:rsidRPr="008D67ED">
        <w:rPr>
          <w:color w:val="111111"/>
          <w:sz w:val="20"/>
          <w:szCs w:val="20"/>
          <w:shd w:val="clear" w:color="auto" w:fill="FFFFFF"/>
          <w:lang w:eastAsia="uk-UA"/>
        </w:rPr>
        <w:t xml:space="preserve">. </w:t>
      </w:r>
      <w:r w:rsidRPr="008D67ED">
        <w:rPr>
          <w:color w:val="111111"/>
          <w:sz w:val="20"/>
          <w:szCs w:val="20"/>
          <w:shd w:val="clear" w:color="auto" w:fill="FFFFFF"/>
          <w:lang w:val="en-US" w:eastAsia="uk-UA"/>
        </w:rPr>
        <w:t xml:space="preserve">1939; </w:t>
      </w:r>
      <w:r w:rsidRPr="008D67ED">
        <w:rPr>
          <w:color w:val="111111"/>
          <w:sz w:val="20"/>
          <w:szCs w:val="20"/>
          <w:shd w:val="clear" w:color="auto" w:fill="FFFFFF"/>
          <w:lang w:eastAsia="uk-UA"/>
        </w:rPr>
        <w:t>1</w:t>
      </w:r>
      <w:r w:rsidRPr="008D67ED">
        <w:rPr>
          <w:color w:val="111111"/>
          <w:sz w:val="20"/>
          <w:szCs w:val="20"/>
          <w:shd w:val="clear" w:color="auto" w:fill="FFFFFF"/>
          <w:lang w:val="en-US" w:eastAsia="uk-UA"/>
        </w:rPr>
        <w:t>(Zesz</w:t>
      </w:r>
      <w:r w:rsidRPr="008D67ED">
        <w:rPr>
          <w:color w:val="111111"/>
          <w:sz w:val="20"/>
          <w:szCs w:val="20"/>
          <w:shd w:val="clear" w:color="auto" w:fill="FFFFFF"/>
          <w:lang w:eastAsia="uk-UA"/>
        </w:rPr>
        <w:t>.</w:t>
      </w:r>
      <w:r w:rsidRPr="008D67ED">
        <w:rPr>
          <w:color w:val="111111"/>
          <w:sz w:val="20"/>
          <w:szCs w:val="20"/>
          <w:shd w:val="clear" w:color="auto" w:fill="FFFFFF"/>
          <w:lang w:val="en-US" w:eastAsia="uk-UA"/>
        </w:rPr>
        <w:t> </w:t>
      </w:r>
      <w:r w:rsidRPr="008D67ED">
        <w:rPr>
          <w:color w:val="111111"/>
          <w:sz w:val="20"/>
          <w:szCs w:val="20"/>
          <w:shd w:val="clear" w:color="auto" w:fill="FFFFFF"/>
          <w:lang w:eastAsia="uk-UA"/>
        </w:rPr>
        <w:t>1</w:t>
      </w:r>
      <w:r w:rsidRPr="008D67ED">
        <w:rPr>
          <w:color w:val="111111"/>
          <w:sz w:val="20"/>
          <w:szCs w:val="20"/>
          <w:shd w:val="clear" w:color="auto" w:fill="FFFFFF"/>
          <w:lang w:val="en-US" w:eastAsia="uk-UA"/>
        </w:rPr>
        <w:t>):</w:t>
      </w:r>
      <w:r w:rsidRPr="008D67ED">
        <w:rPr>
          <w:color w:val="111111"/>
          <w:sz w:val="20"/>
          <w:szCs w:val="20"/>
          <w:shd w:val="clear" w:color="auto" w:fill="FFFFFF"/>
          <w:lang w:eastAsia="uk-UA"/>
        </w:rPr>
        <w:t>27</w:t>
      </w:r>
      <w:r w:rsidRPr="008D67ED">
        <w:rPr>
          <w:color w:val="111111"/>
          <w:sz w:val="20"/>
          <w:szCs w:val="20"/>
          <w:shd w:val="clear" w:color="auto" w:fill="FFFFFF"/>
          <w:lang w:val="en-US" w:eastAsia="uk-UA"/>
        </w:rPr>
        <w:t>-</w:t>
      </w:r>
      <w:r w:rsidRPr="008D67ED">
        <w:rPr>
          <w:color w:val="111111"/>
          <w:sz w:val="20"/>
          <w:szCs w:val="20"/>
          <w:shd w:val="clear" w:color="auto" w:fill="FFFFFF"/>
          <w:lang w:eastAsia="uk-UA"/>
        </w:rPr>
        <w:t>32.</w:t>
      </w:r>
      <w:r w:rsidRPr="008D67ED">
        <w:rPr>
          <w:color w:val="111111"/>
          <w:sz w:val="20"/>
          <w:szCs w:val="20"/>
          <w:shd w:val="clear" w:color="auto" w:fill="FFFFFF"/>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color w:val="111111"/>
          <w:sz w:val="20"/>
          <w:szCs w:val="20"/>
          <w:lang w:eastAsia="uk-UA"/>
        </w:rPr>
        <w:t xml:space="preserve">Talarczykówna R. Zasługi Henryka Jordana na polu higieny i wychowania fizycznego młodzieży </w:t>
      </w:r>
      <w:r w:rsidRPr="008D67ED">
        <w:rPr>
          <w:sz w:val="20"/>
          <w:szCs w:val="20"/>
          <w:shd w:val="clear" w:color="auto" w:fill="FFFFFF"/>
          <w:lang w:eastAsia="uk-UA"/>
        </w:rPr>
        <w:t>[Henryk Jordan’s contributions to the field of hygiene and physical education of young people]</w:t>
      </w:r>
      <w:r w:rsidRPr="008D67ED">
        <w:rPr>
          <w:color w:val="111111"/>
          <w:sz w:val="20"/>
          <w:szCs w:val="20"/>
          <w:lang w:eastAsia="uk-UA"/>
        </w:rPr>
        <w:t xml:space="preserve">. </w:t>
      </w:r>
      <w:r w:rsidRPr="008D67ED">
        <w:rPr>
          <w:i/>
          <w:color w:val="111111"/>
          <w:sz w:val="20"/>
          <w:szCs w:val="20"/>
          <w:lang w:val="en-US" w:eastAsia="uk-UA"/>
        </w:rPr>
        <w:t>Higiena</w:t>
      </w:r>
      <w:r w:rsidRPr="008D67ED">
        <w:rPr>
          <w:i/>
          <w:color w:val="111111"/>
          <w:sz w:val="20"/>
          <w:szCs w:val="20"/>
          <w:lang w:eastAsia="uk-UA"/>
        </w:rPr>
        <w:t xml:space="preserve"> </w:t>
      </w:r>
      <w:r w:rsidRPr="008D67ED">
        <w:rPr>
          <w:i/>
          <w:color w:val="111111"/>
          <w:sz w:val="20"/>
          <w:szCs w:val="20"/>
          <w:lang w:val="en-US" w:eastAsia="uk-UA"/>
        </w:rPr>
        <w:t>Szkolna</w:t>
      </w:r>
      <w:r w:rsidRPr="008D67ED">
        <w:rPr>
          <w:color w:val="111111"/>
          <w:sz w:val="20"/>
          <w:szCs w:val="20"/>
          <w:lang w:eastAsia="uk-UA"/>
        </w:rPr>
        <w:t xml:space="preserve">. </w:t>
      </w:r>
      <w:r w:rsidRPr="008D67ED">
        <w:rPr>
          <w:color w:val="111111"/>
          <w:sz w:val="20"/>
          <w:szCs w:val="20"/>
          <w:lang w:val="en-US" w:eastAsia="uk-UA"/>
        </w:rPr>
        <w:t xml:space="preserve">1939; </w:t>
      </w:r>
      <w:r w:rsidRPr="008D67ED">
        <w:rPr>
          <w:color w:val="111111"/>
          <w:sz w:val="20"/>
          <w:szCs w:val="20"/>
          <w:lang w:eastAsia="uk-UA"/>
        </w:rPr>
        <w:t>1</w:t>
      </w:r>
      <w:r w:rsidRPr="008D67ED">
        <w:rPr>
          <w:color w:val="111111"/>
          <w:sz w:val="20"/>
          <w:szCs w:val="20"/>
          <w:lang w:val="en-US" w:eastAsia="uk-UA"/>
        </w:rPr>
        <w:t>(Zesz</w:t>
      </w:r>
      <w:r w:rsidRPr="008D67ED">
        <w:rPr>
          <w:color w:val="111111"/>
          <w:sz w:val="20"/>
          <w:szCs w:val="20"/>
          <w:lang w:eastAsia="uk-UA"/>
        </w:rPr>
        <w:t>.</w:t>
      </w:r>
      <w:r w:rsidRPr="008D67ED">
        <w:rPr>
          <w:color w:val="111111"/>
          <w:sz w:val="20"/>
          <w:szCs w:val="20"/>
          <w:lang w:val="en-US" w:eastAsia="uk-UA"/>
        </w:rPr>
        <w:t> </w:t>
      </w:r>
      <w:r w:rsidRPr="008D67ED">
        <w:rPr>
          <w:color w:val="111111"/>
          <w:sz w:val="20"/>
          <w:szCs w:val="20"/>
          <w:lang w:eastAsia="uk-UA"/>
        </w:rPr>
        <w:t>1</w:t>
      </w:r>
      <w:r w:rsidRPr="008D67ED">
        <w:rPr>
          <w:color w:val="111111"/>
          <w:sz w:val="20"/>
          <w:szCs w:val="20"/>
          <w:lang w:val="en-US" w:eastAsia="uk-UA"/>
        </w:rPr>
        <w:t>):</w:t>
      </w:r>
      <w:r w:rsidRPr="008D67ED">
        <w:rPr>
          <w:color w:val="111111"/>
          <w:sz w:val="20"/>
          <w:szCs w:val="20"/>
          <w:lang w:eastAsia="uk-UA"/>
        </w:rPr>
        <w:t>16</w:t>
      </w:r>
      <w:r w:rsidRPr="008D67ED">
        <w:rPr>
          <w:color w:val="111111"/>
          <w:sz w:val="20"/>
          <w:szCs w:val="20"/>
          <w:lang w:val="en-US" w:eastAsia="uk-UA"/>
        </w:rPr>
        <w:t>-</w:t>
      </w:r>
      <w:r w:rsidRPr="008D67ED">
        <w:rPr>
          <w:color w:val="111111"/>
          <w:sz w:val="20"/>
          <w:szCs w:val="20"/>
          <w:lang w:eastAsia="uk-UA"/>
        </w:rPr>
        <w:t>7.</w:t>
      </w:r>
      <w:r w:rsidRPr="008D67ED">
        <w:rPr>
          <w:color w:val="111111"/>
          <w:sz w:val="20"/>
          <w:szCs w:val="20"/>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pacing w:val="-2"/>
          <w:sz w:val="20"/>
          <w:szCs w:val="20"/>
          <w:lang w:eastAsia="uk-UA"/>
        </w:rPr>
        <w:t xml:space="preserve">Kamiński </w:t>
      </w:r>
      <w:r w:rsidRPr="008D67ED">
        <w:rPr>
          <w:spacing w:val="-2"/>
          <w:sz w:val="20"/>
          <w:szCs w:val="20"/>
          <w:lang w:val="en-US" w:eastAsia="uk-UA"/>
        </w:rPr>
        <w:t>A</w:t>
      </w:r>
      <w:r w:rsidRPr="008D67ED">
        <w:rPr>
          <w:spacing w:val="-2"/>
          <w:sz w:val="20"/>
          <w:szCs w:val="20"/>
          <w:lang w:eastAsia="uk-UA"/>
        </w:rPr>
        <w:t xml:space="preserve">. </w:t>
      </w:r>
      <w:r w:rsidRPr="008D67ED">
        <w:rPr>
          <w:iCs/>
          <w:spacing w:val="-2"/>
          <w:sz w:val="20"/>
          <w:szCs w:val="20"/>
          <w:lang w:eastAsia="uk-UA"/>
        </w:rPr>
        <w:t>Henryk Jordan: twórca now</w:t>
      </w:r>
      <w:r w:rsidRPr="008D67ED">
        <w:rPr>
          <w:iCs/>
          <w:spacing w:val="-2"/>
          <w:sz w:val="20"/>
          <w:szCs w:val="20"/>
          <w:lang w:val="en-US" w:eastAsia="uk-UA"/>
        </w:rPr>
        <w:t>oczesn</w:t>
      </w:r>
      <w:r w:rsidRPr="008D67ED">
        <w:rPr>
          <w:iCs/>
          <w:spacing w:val="-2"/>
          <w:sz w:val="20"/>
          <w:szCs w:val="20"/>
          <w:lang w:eastAsia="uk-UA"/>
        </w:rPr>
        <w:t xml:space="preserve">ego wychowania fizycznego w Polsce </w:t>
      </w:r>
      <w:r w:rsidRPr="008D67ED">
        <w:rPr>
          <w:sz w:val="20"/>
          <w:szCs w:val="20"/>
          <w:shd w:val="clear" w:color="auto" w:fill="FFFFFF"/>
          <w:lang w:eastAsia="uk-UA"/>
        </w:rPr>
        <w:t>[Henryk Jordan: the founder of modern physical education in Poland]</w:t>
      </w:r>
      <w:r w:rsidRPr="008D67ED">
        <w:rPr>
          <w:i/>
          <w:iCs/>
          <w:spacing w:val="-2"/>
          <w:sz w:val="20"/>
          <w:szCs w:val="20"/>
          <w:lang w:eastAsia="uk-UA"/>
        </w:rPr>
        <w:t xml:space="preserve">. </w:t>
      </w:r>
      <w:r w:rsidRPr="008D67ED">
        <w:rPr>
          <w:spacing w:val="-2"/>
          <w:sz w:val="20"/>
          <w:szCs w:val="20"/>
          <w:lang w:eastAsia="uk-UA"/>
        </w:rPr>
        <w:t xml:space="preserve">Warszawa: </w:t>
      </w:r>
      <w:r w:rsidRPr="008D67ED">
        <w:rPr>
          <w:spacing w:val="-2"/>
          <w:sz w:val="20"/>
          <w:szCs w:val="20"/>
          <w:lang w:val="en-US" w:eastAsia="uk-UA"/>
        </w:rPr>
        <w:t>Sp</w:t>
      </w:r>
      <w:r w:rsidRPr="008D67ED">
        <w:rPr>
          <w:spacing w:val="-2"/>
          <w:sz w:val="20"/>
          <w:szCs w:val="20"/>
          <w:lang w:eastAsia="uk-UA"/>
        </w:rPr>
        <w:t>ół</w:t>
      </w:r>
      <w:r w:rsidRPr="008D67ED">
        <w:rPr>
          <w:spacing w:val="-2"/>
          <w:sz w:val="20"/>
          <w:szCs w:val="20"/>
          <w:lang w:val="en-US" w:eastAsia="uk-UA"/>
        </w:rPr>
        <w:t>dzielnia</w:t>
      </w:r>
      <w:r w:rsidRPr="008D67ED">
        <w:rPr>
          <w:spacing w:val="-2"/>
          <w:sz w:val="20"/>
          <w:szCs w:val="20"/>
          <w:lang w:eastAsia="uk-UA"/>
        </w:rPr>
        <w:t xml:space="preserve"> </w:t>
      </w:r>
      <w:r w:rsidRPr="008D67ED">
        <w:rPr>
          <w:spacing w:val="-2"/>
          <w:sz w:val="20"/>
          <w:szCs w:val="20"/>
          <w:lang w:val="en-US" w:eastAsia="uk-UA"/>
        </w:rPr>
        <w:t>Wydawnicza</w:t>
      </w:r>
      <w:r w:rsidRPr="008D67ED">
        <w:rPr>
          <w:spacing w:val="-2"/>
          <w:sz w:val="20"/>
          <w:szCs w:val="20"/>
          <w:lang w:eastAsia="uk-UA"/>
        </w:rPr>
        <w:t xml:space="preserve"> «</w:t>
      </w:r>
      <w:r w:rsidRPr="008D67ED">
        <w:rPr>
          <w:spacing w:val="-2"/>
          <w:sz w:val="20"/>
          <w:szCs w:val="20"/>
          <w:lang w:val="en-US" w:eastAsia="uk-UA"/>
        </w:rPr>
        <w:t>Czytelnik</w:t>
      </w:r>
      <w:r w:rsidRPr="008D67ED">
        <w:rPr>
          <w:spacing w:val="-2"/>
          <w:sz w:val="20"/>
          <w:szCs w:val="20"/>
          <w:lang w:eastAsia="uk-UA"/>
        </w:rPr>
        <w:t>»</w:t>
      </w:r>
      <w:r w:rsidRPr="008D67ED">
        <w:rPr>
          <w:spacing w:val="-2"/>
          <w:sz w:val="20"/>
          <w:szCs w:val="20"/>
          <w:lang w:val="en-US" w:eastAsia="uk-UA"/>
        </w:rPr>
        <w:t xml:space="preserve">;1946. </w:t>
      </w:r>
      <w:r w:rsidRPr="008D67ED">
        <w:rPr>
          <w:spacing w:val="-2"/>
          <w:sz w:val="20"/>
          <w:szCs w:val="20"/>
          <w:lang w:eastAsia="uk-UA"/>
        </w:rPr>
        <w:t xml:space="preserve">16 </w:t>
      </w:r>
      <w:r w:rsidRPr="008D67ED">
        <w:rPr>
          <w:spacing w:val="-2"/>
          <w:sz w:val="20"/>
          <w:szCs w:val="20"/>
          <w:lang w:val="en-US" w:eastAsia="uk-UA"/>
        </w:rPr>
        <w:t>s</w:t>
      </w:r>
      <w:r w:rsidRPr="008D67ED">
        <w:rPr>
          <w:spacing w:val="-2"/>
          <w:sz w:val="20"/>
          <w:szCs w:val="20"/>
          <w:lang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sz w:val="20"/>
          <w:szCs w:val="20"/>
          <w:shd w:val="clear" w:color="auto" w:fill="FFFFFF"/>
          <w:lang w:val="pl-PL" w:eastAsia="uk-UA"/>
        </w:rPr>
        <w:t>Smarzyński H.</w:t>
      </w:r>
      <w:r w:rsidRPr="008D67ED">
        <w:rPr>
          <w:b/>
          <w:sz w:val="20"/>
          <w:szCs w:val="20"/>
          <w:shd w:val="clear" w:color="auto" w:fill="FFFFFF"/>
          <w:lang w:val="pl-PL" w:eastAsia="uk-UA"/>
        </w:rPr>
        <w:t xml:space="preserve"> </w:t>
      </w:r>
      <w:r w:rsidRPr="008D67ED">
        <w:rPr>
          <w:sz w:val="20"/>
          <w:szCs w:val="20"/>
          <w:shd w:val="clear" w:color="auto" w:fill="FFFFFF"/>
          <w:lang w:val="pl-PL" w:eastAsia="uk-UA"/>
        </w:rPr>
        <w:t>(1958).</w:t>
      </w:r>
      <w:r w:rsidRPr="008D67ED">
        <w:rPr>
          <w:b/>
          <w:sz w:val="20"/>
          <w:szCs w:val="20"/>
          <w:shd w:val="clear" w:color="auto" w:fill="FFFFFF"/>
          <w:lang w:val="pl-PL" w:eastAsia="uk-UA"/>
        </w:rPr>
        <w:t xml:space="preserve"> </w:t>
      </w:r>
      <w:r w:rsidRPr="008D67ED">
        <w:rPr>
          <w:sz w:val="20"/>
          <w:szCs w:val="20"/>
          <w:shd w:val="clear" w:color="auto" w:fill="FFFFFF"/>
          <w:lang w:val="pl-PL" w:eastAsia="uk-UA"/>
        </w:rPr>
        <w:t xml:space="preserve">Henryk Jordan pioner nowoczesnego wychowania fizycznego w Polsce </w:t>
      </w:r>
      <w:r w:rsidRPr="008D67ED">
        <w:rPr>
          <w:sz w:val="20"/>
          <w:szCs w:val="20"/>
          <w:lang w:eastAsia="uk-UA"/>
        </w:rPr>
        <w:t>[Henryk Jordan, a pioneer of modern physical education in Poland]</w:t>
      </w:r>
      <w:r w:rsidRPr="008D67ED">
        <w:rPr>
          <w:sz w:val="20"/>
          <w:szCs w:val="20"/>
          <w:shd w:val="clear" w:color="auto" w:fill="FFFFFF"/>
          <w:lang w:val="pl-PL" w:eastAsia="uk-UA"/>
        </w:rPr>
        <w:t>. Kraków: Państw. Wyd. Naukowe. 258</w:t>
      </w:r>
      <w:r w:rsidRPr="008D67ED">
        <w:rPr>
          <w:sz w:val="20"/>
          <w:szCs w:val="20"/>
          <w:shd w:val="clear" w:color="auto" w:fill="FFFFFF"/>
          <w:lang w:eastAsia="uk-UA"/>
        </w:rPr>
        <w:t> p</w:t>
      </w:r>
      <w:r w:rsidRPr="008D67ED">
        <w:rPr>
          <w:sz w:val="20"/>
          <w:szCs w:val="20"/>
          <w:shd w:val="clear" w:color="auto" w:fill="FFFFFF"/>
          <w:lang w:val="pl-PL"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bCs/>
          <w:kern w:val="28"/>
          <w:sz w:val="20"/>
          <w:szCs w:val="20"/>
          <w:lang w:val="en-US" w:eastAsia="uk-UA"/>
        </w:rPr>
        <w:lastRenderedPageBreak/>
        <w:t xml:space="preserve">Morawska-Kleczkowska J. Doktor Henryk Jordan </w:t>
      </w:r>
      <w:r w:rsidRPr="008D67ED">
        <w:rPr>
          <w:sz w:val="20"/>
          <w:szCs w:val="20"/>
          <w:lang w:val="en-US" w:eastAsia="uk-UA"/>
        </w:rPr>
        <w:t>[Doctor Henryk Jordan]</w:t>
      </w:r>
      <w:r w:rsidRPr="008D67ED">
        <w:rPr>
          <w:bCs/>
          <w:kern w:val="28"/>
          <w:sz w:val="20"/>
          <w:szCs w:val="20"/>
          <w:lang w:val="en-US" w:eastAsia="uk-UA"/>
        </w:rPr>
        <w:t>. Wiedza i Życie. Miesięcznik Popularno-Naukowy. 1959; 8:504-</w:t>
      </w:r>
      <w:r w:rsidRPr="008D67ED">
        <w:rPr>
          <w:bCs/>
          <w:kern w:val="28"/>
          <w:sz w:val="20"/>
          <w:szCs w:val="20"/>
          <w:lang w:eastAsia="uk-UA"/>
        </w:rPr>
        <w:t>05</w:t>
      </w:r>
      <w:r w:rsidRPr="008D67ED">
        <w:rPr>
          <w:bCs/>
          <w:kern w:val="28"/>
          <w:sz w:val="20"/>
          <w:szCs w:val="20"/>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bCs/>
          <w:kern w:val="28"/>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kern w:val="28"/>
          <w:sz w:val="20"/>
          <w:szCs w:val="20"/>
          <w:lang w:eastAsia="uk-UA"/>
        </w:rPr>
        <w:t>Wroczyński</w:t>
      </w:r>
      <w:r w:rsidRPr="008D67ED">
        <w:rPr>
          <w:kern w:val="28"/>
          <w:sz w:val="20"/>
          <w:szCs w:val="20"/>
          <w:lang w:val="en-US" w:eastAsia="uk-UA"/>
        </w:rPr>
        <w:t xml:space="preserve"> </w:t>
      </w:r>
      <w:r w:rsidRPr="008D67ED">
        <w:rPr>
          <w:kern w:val="28"/>
          <w:sz w:val="20"/>
          <w:szCs w:val="20"/>
          <w:lang w:eastAsia="uk-UA"/>
        </w:rPr>
        <w:t>R. Henryk Jordan: propagator gier i zabaw ruchowych</w:t>
      </w:r>
      <w:r w:rsidRPr="008D67ED">
        <w:rPr>
          <w:kern w:val="28"/>
          <w:sz w:val="20"/>
          <w:szCs w:val="20"/>
          <w:lang w:val="en-US" w:eastAsia="uk-UA"/>
        </w:rPr>
        <w:t xml:space="preserve"> </w:t>
      </w:r>
      <w:r w:rsidRPr="008D67ED">
        <w:rPr>
          <w:sz w:val="20"/>
          <w:szCs w:val="20"/>
          <w:lang w:val="en-US" w:eastAsia="uk-UA"/>
        </w:rPr>
        <w:t>[Henryk Jordan: a promoter of games and active play]</w:t>
      </w:r>
      <w:r w:rsidRPr="008D67ED">
        <w:rPr>
          <w:kern w:val="28"/>
          <w:sz w:val="20"/>
          <w:szCs w:val="20"/>
          <w:lang w:eastAsia="uk-UA"/>
        </w:rPr>
        <w:t xml:space="preserve">. Warszawa: </w:t>
      </w:r>
      <w:r w:rsidRPr="008D67ED">
        <w:rPr>
          <w:kern w:val="28"/>
          <w:sz w:val="20"/>
          <w:szCs w:val="20"/>
          <w:lang w:val="en-US" w:eastAsia="uk-UA"/>
        </w:rPr>
        <w:t>Nasza</w:t>
      </w:r>
      <w:r w:rsidRPr="008D67ED">
        <w:rPr>
          <w:kern w:val="28"/>
          <w:sz w:val="20"/>
          <w:szCs w:val="20"/>
          <w:lang w:eastAsia="uk-UA"/>
        </w:rPr>
        <w:t xml:space="preserve"> </w:t>
      </w:r>
      <w:r w:rsidRPr="008D67ED">
        <w:rPr>
          <w:kern w:val="28"/>
          <w:sz w:val="20"/>
          <w:szCs w:val="20"/>
          <w:lang w:val="en-US" w:eastAsia="uk-UA"/>
        </w:rPr>
        <w:t>ksi</w:t>
      </w:r>
      <w:r w:rsidRPr="008D67ED">
        <w:rPr>
          <w:kern w:val="28"/>
          <w:sz w:val="20"/>
          <w:szCs w:val="20"/>
          <w:lang w:eastAsia="uk-UA"/>
        </w:rPr>
        <w:t>ę</w:t>
      </w:r>
      <w:r w:rsidRPr="008D67ED">
        <w:rPr>
          <w:kern w:val="28"/>
          <w:sz w:val="20"/>
          <w:szCs w:val="20"/>
          <w:lang w:val="en-US" w:eastAsia="uk-UA"/>
        </w:rPr>
        <w:t>garnia;</w:t>
      </w:r>
      <w:r w:rsidRPr="008D67ED">
        <w:rPr>
          <w:kern w:val="28"/>
          <w:sz w:val="20"/>
          <w:szCs w:val="20"/>
          <w:lang w:eastAsia="uk-UA"/>
        </w:rPr>
        <w:t xml:space="preserve"> </w:t>
      </w:r>
      <w:r w:rsidRPr="008D67ED">
        <w:rPr>
          <w:kern w:val="28"/>
          <w:sz w:val="20"/>
          <w:szCs w:val="20"/>
          <w:lang w:val="en-US" w:eastAsia="uk-UA"/>
        </w:rPr>
        <w:t xml:space="preserve">1975. 32 p.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sz w:val="20"/>
          <w:szCs w:val="20"/>
          <w:lang w:val="en-US" w:eastAsia="uk-UA"/>
        </w:rPr>
        <w:t>Demel</w:t>
      </w:r>
      <w:r w:rsidRPr="008D67ED">
        <w:rPr>
          <w:sz w:val="20"/>
          <w:szCs w:val="20"/>
          <w:shd w:val="clear" w:color="auto" w:fill="FFFFFF"/>
          <w:lang w:val="pl-PL" w:eastAsia="uk-UA"/>
        </w:rPr>
        <w:t xml:space="preserve"> M</w:t>
      </w:r>
      <w:r w:rsidRPr="008D67ED">
        <w:rPr>
          <w:sz w:val="20"/>
          <w:szCs w:val="20"/>
          <w:shd w:val="clear" w:color="auto" w:fill="FFFFFF"/>
          <w:lang w:val="en-US" w:eastAsia="uk-UA"/>
        </w:rPr>
        <w:t xml:space="preserve">. </w:t>
      </w:r>
      <w:r w:rsidRPr="008D67ED">
        <w:rPr>
          <w:sz w:val="20"/>
          <w:szCs w:val="20"/>
          <w:lang w:val="en-US" w:eastAsia="uk-UA"/>
        </w:rPr>
        <w:t xml:space="preserve">Idea zdrowia w koncepcji Jordana. Propozycja badawcza </w:t>
      </w:r>
      <w:r w:rsidRPr="008D67ED">
        <w:rPr>
          <w:sz w:val="20"/>
          <w:szCs w:val="20"/>
          <w:shd w:val="clear" w:color="auto" w:fill="FFFFFF"/>
          <w:lang w:eastAsia="uk-UA"/>
        </w:rPr>
        <w:t>[The Idea of Health in Jordan’s Concept: A Research Proposal]</w:t>
      </w:r>
      <w:r w:rsidRPr="008D67ED">
        <w:rPr>
          <w:sz w:val="20"/>
          <w:szCs w:val="20"/>
          <w:lang w:val="en-US" w:eastAsia="uk-UA"/>
        </w:rPr>
        <w:t xml:space="preserve">. </w:t>
      </w:r>
      <w:r w:rsidRPr="008D67ED">
        <w:rPr>
          <w:i/>
          <w:sz w:val="20"/>
          <w:szCs w:val="20"/>
          <w:lang w:val="en-US" w:eastAsia="uk-UA"/>
        </w:rPr>
        <w:t xml:space="preserve">Jubileusz Jordanowski. </w:t>
      </w:r>
      <w:r w:rsidRPr="008D67ED">
        <w:rPr>
          <w:sz w:val="20"/>
          <w:szCs w:val="20"/>
          <w:lang w:val="en-US" w:eastAsia="uk-UA"/>
        </w:rPr>
        <w:t>Kraków;</w:t>
      </w:r>
      <w:r w:rsidRPr="008D67ED">
        <w:rPr>
          <w:sz w:val="20"/>
          <w:szCs w:val="20"/>
          <w:shd w:val="clear" w:color="auto" w:fill="FFFFFF"/>
          <w:lang w:val="en-US" w:eastAsia="uk-UA"/>
        </w:rPr>
        <w:t xml:space="preserve"> 1977</w:t>
      </w:r>
      <w:r w:rsidRPr="008D67ED">
        <w:rPr>
          <w:sz w:val="20"/>
          <w:szCs w:val="20"/>
          <w:lang w:val="en-US" w:eastAsia="uk-UA"/>
        </w:rPr>
        <w:t xml:space="preserve">. </w:t>
      </w:r>
      <w:r w:rsidRPr="008D67ED">
        <w:rPr>
          <w:sz w:val="20"/>
          <w:szCs w:val="20"/>
          <w:lang w:eastAsia="uk-UA"/>
        </w:rPr>
        <w:t>S. 22.</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bCs/>
          <w:sz w:val="20"/>
          <w:szCs w:val="20"/>
          <w:lang w:val="en-US" w:eastAsia="uk-UA"/>
        </w:rPr>
        <w:t xml:space="preserve">Pąchalska M. (red.). Zdrowie w koncepcji Henryka Jordana </w:t>
      </w:r>
      <w:r w:rsidRPr="008D67ED">
        <w:rPr>
          <w:sz w:val="20"/>
          <w:szCs w:val="20"/>
          <w:shd w:val="clear" w:color="auto" w:fill="FFFFFF"/>
          <w:lang w:eastAsia="uk-UA"/>
        </w:rPr>
        <w:t>[Health in the concept of Henryk Jordan]</w:t>
      </w:r>
      <w:r w:rsidRPr="008D67ED">
        <w:rPr>
          <w:bCs/>
          <w:sz w:val="20"/>
          <w:szCs w:val="20"/>
          <w:lang w:val="en-US" w:eastAsia="uk-UA"/>
        </w:rPr>
        <w:t xml:space="preserve">. Kraków: </w:t>
      </w:r>
      <w:r w:rsidRPr="008D67ED">
        <w:rPr>
          <w:color w:val="000000"/>
          <w:sz w:val="20"/>
          <w:szCs w:val="20"/>
          <w:shd w:val="clear" w:color="auto" w:fill="FFFFFF"/>
          <w:lang w:val="en-US" w:eastAsia="uk-UA"/>
        </w:rPr>
        <w:t>Towarzystwo imienia doktora Henryka Jordana</w:t>
      </w:r>
      <w:r w:rsidRPr="008D67ED">
        <w:rPr>
          <w:bCs/>
          <w:sz w:val="20"/>
          <w:szCs w:val="20"/>
          <w:lang w:val="en-US" w:eastAsia="uk-UA"/>
        </w:rPr>
        <w:t xml:space="preserve">; 1989. </w:t>
      </w:r>
      <w:r w:rsidRPr="008D67ED">
        <w:rPr>
          <w:bCs/>
          <w:sz w:val="20"/>
          <w:szCs w:val="20"/>
          <w:lang w:eastAsia="uk-UA"/>
        </w:rPr>
        <w:t xml:space="preserve">306 </w:t>
      </w:r>
      <w:r w:rsidRPr="008D67ED">
        <w:rPr>
          <w:bCs/>
          <w:sz w:val="20"/>
          <w:szCs w:val="20"/>
          <w:lang w:val="en-US" w:eastAsia="uk-UA"/>
        </w:rPr>
        <w:t>s</w:t>
      </w:r>
      <w:r w:rsidRPr="008D67ED">
        <w:rPr>
          <w:bCs/>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bCs/>
          <w:kern w:val="28"/>
          <w:sz w:val="20"/>
          <w:szCs w:val="20"/>
          <w:lang w:val="en-US" w:eastAsia="uk-UA"/>
        </w:rPr>
        <w:t xml:space="preserve">Bukowiec M. Życie i dzieło Henryka Jordana. Recepcja i znaczenie </w:t>
      </w:r>
      <w:r w:rsidRPr="008D67ED">
        <w:rPr>
          <w:sz w:val="20"/>
          <w:szCs w:val="20"/>
          <w:lang w:val="en-US" w:eastAsia="uk-UA"/>
        </w:rPr>
        <w:t>[The Life and Work of Henryk Jordan. Reception and Significance]</w:t>
      </w:r>
      <w:r w:rsidRPr="008D67ED">
        <w:rPr>
          <w:bCs/>
          <w:kern w:val="28"/>
          <w:sz w:val="20"/>
          <w:szCs w:val="20"/>
          <w:lang w:val="en-US" w:eastAsia="uk-UA"/>
        </w:rPr>
        <w:t xml:space="preserve">. Jordanowskie idee zdrowia i wychowania fizycznego: (100 lat później) / pod red. M. Bukowca, B. Zawadzkiej. Kielce; 2008. p. 15-23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bCs/>
          <w:kern w:val="28"/>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kern w:val="28"/>
          <w:sz w:val="20"/>
          <w:szCs w:val="20"/>
          <w:lang w:val="en-US" w:eastAsia="uk-UA"/>
        </w:rPr>
        <w:t>D</w:t>
      </w:r>
      <w:r w:rsidRPr="008D67ED">
        <w:rPr>
          <w:kern w:val="28"/>
          <w:sz w:val="20"/>
          <w:szCs w:val="20"/>
          <w:lang w:eastAsia="uk-UA"/>
        </w:rPr>
        <w:t>ł</w:t>
      </w:r>
      <w:r w:rsidRPr="008D67ED">
        <w:rPr>
          <w:kern w:val="28"/>
          <w:sz w:val="20"/>
          <w:szCs w:val="20"/>
          <w:lang w:val="en-US" w:eastAsia="uk-UA"/>
        </w:rPr>
        <w:t>ugoszewska</w:t>
      </w:r>
      <w:r w:rsidRPr="008D67ED">
        <w:rPr>
          <w:kern w:val="28"/>
          <w:sz w:val="20"/>
          <w:szCs w:val="20"/>
          <w:lang w:eastAsia="uk-UA"/>
        </w:rPr>
        <w:t xml:space="preserve"> </w:t>
      </w:r>
      <w:r w:rsidRPr="008D67ED">
        <w:rPr>
          <w:kern w:val="28"/>
          <w:sz w:val="20"/>
          <w:szCs w:val="20"/>
          <w:lang w:val="en-US" w:eastAsia="uk-UA"/>
        </w:rPr>
        <w:t>K</w:t>
      </w:r>
      <w:r w:rsidRPr="008D67ED">
        <w:rPr>
          <w:kern w:val="28"/>
          <w:sz w:val="20"/>
          <w:szCs w:val="20"/>
          <w:lang w:eastAsia="uk-UA"/>
        </w:rPr>
        <w:t xml:space="preserve">. </w:t>
      </w:r>
      <w:r w:rsidRPr="008D67ED">
        <w:rPr>
          <w:kern w:val="28"/>
          <w:sz w:val="20"/>
          <w:szCs w:val="20"/>
          <w:lang w:val="en-US" w:eastAsia="uk-UA"/>
        </w:rPr>
        <w:t>Henryk</w:t>
      </w:r>
      <w:r w:rsidRPr="008D67ED">
        <w:rPr>
          <w:kern w:val="28"/>
          <w:sz w:val="20"/>
          <w:szCs w:val="20"/>
          <w:lang w:eastAsia="uk-UA"/>
        </w:rPr>
        <w:t xml:space="preserve"> </w:t>
      </w:r>
      <w:r w:rsidRPr="008D67ED">
        <w:rPr>
          <w:kern w:val="28"/>
          <w:sz w:val="20"/>
          <w:szCs w:val="20"/>
          <w:lang w:val="en-US" w:eastAsia="uk-UA"/>
        </w:rPr>
        <w:t>Jordan</w:t>
      </w:r>
      <w:r w:rsidRPr="008D67ED">
        <w:rPr>
          <w:kern w:val="28"/>
          <w:sz w:val="20"/>
          <w:szCs w:val="20"/>
          <w:lang w:eastAsia="uk-UA"/>
        </w:rPr>
        <w:t xml:space="preserve"> </w:t>
      </w:r>
      <w:r w:rsidRPr="008D67ED">
        <w:rPr>
          <w:kern w:val="28"/>
          <w:sz w:val="20"/>
          <w:szCs w:val="20"/>
          <w:lang w:val="en-US" w:eastAsia="uk-UA"/>
        </w:rPr>
        <w:t>jako</w:t>
      </w:r>
      <w:r w:rsidRPr="008D67ED">
        <w:rPr>
          <w:kern w:val="28"/>
          <w:sz w:val="20"/>
          <w:szCs w:val="20"/>
          <w:lang w:eastAsia="uk-UA"/>
        </w:rPr>
        <w:t xml:space="preserve"> </w:t>
      </w:r>
      <w:r w:rsidRPr="008D67ED">
        <w:rPr>
          <w:kern w:val="28"/>
          <w:sz w:val="20"/>
          <w:szCs w:val="20"/>
          <w:lang w:val="en-US" w:eastAsia="uk-UA"/>
        </w:rPr>
        <w:t>prekursor</w:t>
      </w:r>
      <w:r w:rsidRPr="008D67ED">
        <w:rPr>
          <w:kern w:val="28"/>
          <w:sz w:val="20"/>
          <w:szCs w:val="20"/>
          <w:lang w:eastAsia="uk-UA"/>
        </w:rPr>
        <w:t xml:space="preserve"> </w:t>
      </w:r>
      <w:r w:rsidRPr="008D67ED">
        <w:rPr>
          <w:kern w:val="28"/>
          <w:sz w:val="20"/>
          <w:szCs w:val="20"/>
          <w:lang w:val="en-US" w:eastAsia="uk-UA"/>
        </w:rPr>
        <w:t>wsp</w:t>
      </w:r>
      <w:r w:rsidRPr="008D67ED">
        <w:rPr>
          <w:kern w:val="28"/>
          <w:sz w:val="20"/>
          <w:szCs w:val="20"/>
          <w:lang w:eastAsia="uk-UA"/>
        </w:rPr>
        <w:t>ół</w:t>
      </w:r>
      <w:r w:rsidRPr="008D67ED">
        <w:rPr>
          <w:kern w:val="28"/>
          <w:sz w:val="20"/>
          <w:szCs w:val="20"/>
          <w:lang w:val="en-US" w:eastAsia="uk-UA"/>
        </w:rPr>
        <w:t>czesnego</w:t>
      </w:r>
      <w:r w:rsidRPr="008D67ED">
        <w:rPr>
          <w:kern w:val="28"/>
          <w:sz w:val="20"/>
          <w:szCs w:val="20"/>
          <w:lang w:eastAsia="uk-UA"/>
        </w:rPr>
        <w:t xml:space="preserve"> </w:t>
      </w:r>
      <w:r w:rsidRPr="008D67ED">
        <w:rPr>
          <w:kern w:val="28"/>
          <w:sz w:val="20"/>
          <w:szCs w:val="20"/>
          <w:lang w:val="en-US" w:eastAsia="uk-UA"/>
        </w:rPr>
        <w:t>wychowania</w:t>
      </w:r>
      <w:r w:rsidRPr="008D67ED">
        <w:rPr>
          <w:kern w:val="28"/>
          <w:sz w:val="20"/>
          <w:szCs w:val="20"/>
          <w:lang w:eastAsia="uk-UA"/>
        </w:rPr>
        <w:t xml:space="preserve"> </w:t>
      </w:r>
      <w:r w:rsidRPr="008D67ED">
        <w:rPr>
          <w:kern w:val="28"/>
          <w:sz w:val="20"/>
          <w:szCs w:val="20"/>
          <w:lang w:val="en-US" w:eastAsia="uk-UA"/>
        </w:rPr>
        <w:t>fizycznego</w:t>
      </w:r>
      <w:r w:rsidRPr="008D67ED">
        <w:rPr>
          <w:kern w:val="28"/>
          <w:sz w:val="20"/>
          <w:szCs w:val="20"/>
          <w:lang w:eastAsia="uk-UA"/>
        </w:rPr>
        <w:t xml:space="preserve"> </w:t>
      </w:r>
      <w:r w:rsidRPr="008D67ED">
        <w:rPr>
          <w:kern w:val="28"/>
          <w:sz w:val="20"/>
          <w:szCs w:val="20"/>
          <w:lang w:val="en-US" w:eastAsia="uk-UA"/>
        </w:rPr>
        <w:t>i</w:t>
      </w:r>
      <w:r w:rsidRPr="008D67ED">
        <w:rPr>
          <w:kern w:val="28"/>
          <w:sz w:val="20"/>
          <w:szCs w:val="20"/>
          <w:lang w:eastAsia="uk-UA"/>
        </w:rPr>
        <w:t xml:space="preserve"> </w:t>
      </w:r>
      <w:r w:rsidRPr="008D67ED">
        <w:rPr>
          <w:kern w:val="28"/>
          <w:sz w:val="20"/>
          <w:szCs w:val="20"/>
          <w:lang w:val="en-US" w:eastAsia="uk-UA"/>
        </w:rPr>
        <w:t>zdrowotnego</w:t>
      </w:r>
      <w:r w:rsidRPr="008D67ED">
        <w:rPr>
          <w:kern w:val="28"/>
          <w:sz w:val="20"/>
          <w:szCs w:val="20"/>
          <w:lang w:eastAsia="uk-UA"/>
        </w:rPr>
        <w:t xml:space="preserve"> </w:t>
      </w:r>
      <w:r w:rsidRPr="008D67ED">
        <w:rPr>
          <w:kern w:val="28"/>
          <w:sz w:val="20"/>
          <w:szCs w:val="20"/>
          <w:lang w:val="en-US" w:eastAsia="uk-UA"/>
        </w:rPr>
        <w:t>w</w:t>
      </w:r>
      <w:r w:rsidRPr="008D67ED">
        <w:rPr>
          <w:kern w:val="28"/>
          <w:sz w:val="20"/>
          <w:szCs w:val="20"/>
          <w:lang w:eastAsia="uk-UA"/>
        </w:rPr>
        <w:t xml:space="preserve"> </w:t>
      </w:r>
      <w:r w:rsidRPr="008D67ED">
        <w:rPr>
          <w:kern w:val="28"/>
          <w:sz w:val="20"/>
          <w:szCs w:val="20"/>
          <w:lang w:val="en-US" w:eastAsia="uk-UA"/>
        </w:rPr>
        <w:t>Polsce</w:t>
      </w:r>
      <w:r w:rsidRPr="008D67ED">
        <w:rPr>
          <w:kern w:val="28"/>
          <w:sz w:val="20"/>
          <w:szCs w:val="20"/>
          <w:lang w:eastAsia="uk-UA"/>
        </w:rPr>
        <w:t xml:space="preserve"> </w:t>
      </w:r>
      <w:r w:rsidRPr="008D67ED">
        <w:rPr>
          <w:sz w:val="20"/>
          <w:szCs w:val="20"/>
          <w:lang w:eastAsia="uk-UA"/>
        </w:rPr>
        <w:t>[Henryk Jordan as a pioneer of modern physical and health education in Poland]</w:t>
      </w:r>
      <w:r w:rsidRPr="008D67ED">
        <w:rPr>
          <w:kern w:val="28"/>
          <w:sz w:val="20"/>
          <w:szCs w:val="20"/>
          <w:lang w:eastAsia="uk-UA"/>
        </w:rPr>
        <w:t xml:space="preserve">. </w:t>
      </w:r>
      <w:r w:rsidRPr="008D67ED">
        <w:rPr>
          <w:kern w:val="28"/>
          <w:sz w:val="20"/>
          <w:szCs w:val="20"/>
          <w:lang w:val="en-US" w:eastAsia="uk-UA"/>
        </w:rPr>
        <w:t>Lider. 2009</w:t>
      </w:r>
      <w:r w:rsidRPr="008D67ED">
        <w:rPr>
          <w:kern w:val="28"/>
          <w:sz w:val="20"/>
          <w:szCs w:val="20"/>
          <w:lang w:eastAsia="uk-UA"/>
        </w:rPr>
        <w:t>; 1:12</w:t>
      </w:r>
      <w:r w:rsidRPr="008D67ED">
        <w:rPr>
          <w:kern w:val="28"/>
          <w:sz w:val="20"/>
          <w:szCs w:val="20"/>
          <w:lang w:val="en-US" w:eastAsia="uk-UA"/>
        </w:rPr>
        <w:t>-</w:t>
      </w:r>
      <w:r w:rsidRPr="008D67ED">
        <w:rPr>
          <w:kern w:val="28"/>
          <w:sz w:val="20"/>
          <w:szCs w:val="20"/>
          <w:lang w:eastAsia="uk-UA"/>
        </w:rPr>
        <w:t>7</w:t>
      </w:r>
      <w:r w:rsidRPr="008D67ED">
        <w:rPr>
          <w:kern w:val="28"/>
          <w:sz w:val="20"/>
          <w:szCs w:val="20"/>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kern w:val="28"/>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b/>
          <w:kern w:val="28"/>
          <w:sz w:val="20"/>
          <w:szCs w:val="20"/>
          <w:lang w:eastAsia="uk-UA"/>
        </w:rPr>
      </w:pPr>
      <w:r w:rsidRPr="008D67ED">
        <w:rPr>
          <w:kern w:val="28"/>
          <w:sz w:val="20"/>
          <w:szCs w:val="20"/>
          <w:lang w:val="en-US" w:eastAsia="uk-UA"/>
        </w:rPr>
        <w:t>Wagner</w:t>
      </w:r>
      <w:r w:rsidRPr="008D67ED">
        <w:rPr>
          <w:kern w:val="28"/>
          <w:sz w:val="20"/>
          <w:szCs w:val="20"/>
          <w:lang w:eastAsia="uk-UA"/>
        </w:rPr>
        <w:t xml:space="preserve"> </w:t>
      </w:r>
      <w:r w:rsidRPr="008D67ED">
        <w:rPr>
          <w:kern w:val="28"/>
          <w:sz w:val="20"/>
          <w:szCs w:val="20"/>
          <w:lang w:val="en-US" w:eastAsia="uk-UA"/>
        </w:rPr>
        <w:t>H</w:t>
      </w:r>
      <w:r w:rsidRPr="008D67ED">
        <w:rPr>
          <w:kern w:val="28"/>
          <w:sz w:val="20"/>
          <w:szCs w:val="20"/>
          <w:lang w:eastAsia="uk-UA"/>
        </w:rPr>
        <w:t xml:space="preserve">. </w:t>
      </w:r>
      <w:r w:rsidRPr="008D67ED">
        <w:rPr>
          <w:kern w:val="28"/>
          <w:sz w:val="20"/>
          <w:szCs w:val="20"/>
          <w:lang w:val="en-US" w:eastAsia="uk-UA"/>
        </w:rPr>
        <w:t>Henryk</w:t>
      </w:r>
      <w:r w:rsidRPr="008D67ED">
        <w:rPr>
          <w:kern w:val="28"/>
          <w:sz w:val="20"/>
          <w:szCs w:val="20"/>
          <w:lang w:eastAsia="uk-UA"/>
        </w:rPr>
        <w:t xml:space="preserve"> </w:t>
      </w:r>
      <w:r w:rsidRPr="008D67ED">
        <w:rPr>
          <w:kern w:val="28"/>
          <w:sz w:val="20"/>
          <w:szCs w:val="20"/>
          <w:lang w:val="en-US" w:eastAsia="uk-UA"/>
        </w:rPr>
        <w:t>Jordan</w:t>
      </w:r>
      <w:r w:rsidRPr="008D67ED">
        <w:rPr>
          <w:kern w:val="28"/>
          <w:sz w:val="20"/>
          <w:szCs w:val="20"/>
          <w:lang w:eastAsia="uk-UA"/>
        </w:rPr>
        <w:t xml:space="preserve">: </w:t>
      </w:r>
      <w:r w:rsidRPr="008D67ED">
        <w:rPr>
          <w:kern w:val="28"/>
          <w:sz w:val="20"/>
          <w:szCs w:val="20"/>
          <w:lang w:val="en-US" w:eastAsia="uk-UA"/>
        </w:rPr>
        <w:t>prekursor</w:t>
      </w:r>
      <w:r w:rsidRPr="008D67ED">
        <w:rPr>
          <w:kern w:val="28"/>
          <w:sz w:val="20"/>
          <w:szCs w:val="20"/>
          <w:lang w:eastAsia="uk-UA"/>
        </w:rPr>
        <w:t xml:space="preserve"> </w:t>
      </w:r>
      <w:r w:rsidRPr="008D67ED">
        <w:rPr>
          <w:kern w:val="28"/>
          <w:sz w:val="20"/>
          <w:szCs w:val="20"/>
          <w:lang w:val="en-US" w:eastAsia="uk-UA"/>
        </w:rPr>
        <w:t>wychowania</w:t>
      </w:r>
      <w:r w:rsidRPr="008D67ED">
        <w:rPr>
          <w:kern w:val="28"/>
          <w:sz w:val="20"/>
          <w:szCs w:val="20"/>
          <w:lang w:eastAsia="uk-UA"/>
        </w:rPr>
        <w:t xml:space="preserve"> </w:t>
      </w:r>
      <w:r w:rsidRPr="008D67ED">
        <w:rPr>
          <w:kern w:val="28"/>
          <w:sz w:val="20"/>
          <w:szCs w:val="20"/>
          <w:lang w:val="en-US" w:eastAsia="uk-UA"/>
        </w:rPr>
        <w:t>fizycznego</w:t>
      </w:r>
      <w:r w:rsidRPr="008D67ED">
        <w:rPr>
          <w:kern w:val="28"/>
          <w:sz w:val="20"/>
          <w:szCs w:val="20"/>
          <w:lang w:eastAsia="uk-UA"/>
        </w:rPr>
        <w:t xml:space="preserve"> </w:t>
      </w:r>
      <w:r w:rsidRPr="008D67ED">
        <w:rPr>
          <w:sz w:val="20"/>
          <w:szCs w:val="20"/>
          <w:lang w:eastAsia="uk-UA"/>
        </w:rPr>
        <w:t>[</w:t>
      </w:r>
      <w:r w:rsidRPr="008D67ED">
        <w:rPr>
          <w:sz w:val="20"/>
          <w:szCs w:val="20"/>
          <w:lang w:val="en-US" w:eastAsia="uk-UA"/>
        </w:rPr>
        <w:t>Henryk</w:t>
      </w:r>
      <w:r w:rsidRPr="008D67ED">
        <w:rPr>
          <w:sz w:val="20"/>
          <w:szCs w:val="20"/>
          <w:lang w:eastAsia="uk-UA"/>
        </w:rPr>
        <w:t xml:space="preserve"> </w:t>
      </w:r>
      <w:r w:rsidRPr="008D67ED">
        <w:rPr>
          <w:sz w:val="20"/>
          <w:szCs w:val="20"/>
          <w:lang w:val="en-US" w:eastAsia="uk-UA"/>
        </w:rPr>
        <w:t>Jordan</w:t>
      </w:r>
      <w:r w:rsidRPr="008D67ED">
        <w:rPr>
          <w:sz w:val="20"/>
          <w:szCs w:val="20"/>
          <w:lang w:eastAsia="uk-UA"/>
        </w:rPr>
        <w:t xml:space="preserve">: </w:t>
      </w:r>
      <w:r w:rsidRPr="008D67ED">
        <w:rPr>
          <w:sz w:val="20"/>
          <w:szCs w:val="20"/>
          <w:lang w:val="en-US" w:eastAsia="uk-UA"/>
        </w:rPr>
        <w:t>pioneer</w:t>
      </w:r>
      <w:r w:rsidRPr="008D67ED">
        <w:rPr>
          <w:sz w:val="20"/>
          <w:szCs w:val="20"/>
          <w:lang w:eastAsia="uk-UA"/>
        </w:rPr>
        <w:t xml:space="preserve"> </w:t>
      </w:r>
      <w:r w:rsidRPr="008D67ED">
        <w:rPr>
          <w:sz w:val="20"/>
          <w:szCs w:val="20"/>
          <w:lang w:val="en-US" w:eastAsia="uk-UA"/>
        </w:rPr>
        <w:t>of</w:t>
      </w:r>
      <w:r w:rsidRPr="008D67ED">
        <w:rPr>
          <w:sz w:val="20"/>
          <w:szCs w:val="20"/>
          <w:lang w:eastAsia="uk-UA"/>
        </w:rPr>
        <w:t xml:space="preserve"> </w:t>
      </w:r>
      <w:r w:rsidRPr="008D67ED">
        <w:rPr>
          <w:sz w:val="20"/>
          <w:szCs w:val="20"/>
          <w:lang w:val="en-US" w:eastAsia="uk-UA"/>
        </w:rPr>
        <w:t>physical</w:t>
      </w:r>
      <w:r w:rsidRPr="008D67ED">
        <w:rPr>
          <w:sz w:val="20"/>
          <w:szCs w:val="20"/>
          <w:lang w:eastAsia="uk-UA"/>
        </w:rPr>
        <w:t xml:space="preserve"> </w:t>
      </w:r>
      <w:r w:rsidRPr="008D67ED">
        <w:rPr>
          <w:sz w:val="20"/>
          <w:szCs w:val="20"/>
          <w:lang w:val="en-US" w:eastAsia="uk-UA"/>
        </w:rPr>
        <w:t>education</w:t>
      </w:r>
      <w:r w:rsidRPr="008D67ED">
        <w:rPr>
          <w:sz w:val="20"/>
          <w:szCs w:val="20"/>
          <w:lang w:eastAsia="uk-UA"/>
        </w:rPr>
        <w:t>]</w:t>
      </w:r>
      <w:r w:rsidRPr="008D67ED">
        <w:rPr>
          <w:kern w:val="28"/>
          <w:sz w:val="20"/>
          <w:szCs w:val="20"/>
          <w:lang w:eastAsia="uk-UA"/>
        </w:rPr>
        <w:t xml:space="preserve">. </w:t>
      </w:r>
      <w:r w:rsidRPr="008D67ED">
        <w:rPr>
          <w:kern w:val="28"/>
          <w:sz w:val="20"/>
          <w:szCs w:val="20"/>
          <w:lang w:val="en-US" w:eastAsia="uk-UA"/>
        </w:rPr>
        <w:t>Prace</w:t>
      </w:r>
      <w:r w:rsidRPr="008D67ED">
        <w:rPr>
          <w:kern w:val="28"/>
          <w:sz w:val="20"/>
          <w:szCs w:val="20"/>
          <w:lang w:eastAsia="uk-UA"/>
        </w:rPr>
        <w:t xml:space="preserve"> </w:t>
      </w:r>
      <w:r w:rsidRPr="008D67ED">
        <w:rPr>
          <w:kern w:val="28"/>
          <w:sz w:val="20"/>
          <w:szCs w:val="20"/>
          <w:lang w:val="en-US" w:eastAsia="uk-UA"/>
        </w:rPr>
        <w:t>Naukowe</w:t>
      </w:r>
      <w:r w:rsidRPr="008D67ED">
        <w:rPr>
          <w:kern w:val="28"/>
          <w:sz w:val="20"/>
          <w:szCs w:val="20"/>
          <w:lang w:eastAsia="uk-UA"/>
        </w:rPr>
        <w:t xml:space="preserve">. </w:t>
      </w:r>
      <w:r w:rsidRPr="008D67ED">
        <w:rPr>
          <w:kern w:val="28"/>
          <w:sz w:val="20"/>
          <w:szCs w:val="20"/>
          <w:lang w:val="en-US" w:eastAsia="uk-UA"/>
        </w:rPr>
        <w:t>Pedagogika</w:t>
      </w:r>
      <w:r w:rsidRPr="008D67ED">
        <w:rPr>
          <w:kern w:val="28"/>
          <w:sz w:val="20"/>
          <w:szCs w:val="20"/>
          <w:lang w:eastAsia="uk-UA"/>
        </w:rPr>
        <w:t xml:space="preserve">. 1999 </w:t>
      </w:r>
      <w:r w:rsidRPr="008D67ED">
        <w:rPr>
          <w:kern w:val="28"/>
          <w:sz w:val="20"/>
          <w:szCs w:val="20"/>
          <w:lang w:val="en-US" w:eastAsia="uk-UA"/>
        </w:rPr>
        <w:t>-</w:t>
      </w:r>
      <w:r w:rsidRPr="008D67ED">
        <w:rPr>
          <w:kern w:val="28"/>
          <w:sz w:val="20"/>
          <w:szCs w:val="20"/>
          <w:lang w:eastAsia="uk-UA"/>
        </w:rPr>
        <w:t xml:space="preserve"> 2000 </w:t>
      </w:r>
      <w:r w:rsidRPr="008D67ED">
        <w:rPr>
          <w:kern w:val="28"/>
          <w:sz w:val="20"/>
          <w:szCs w:val="20"/>
          <w:lang w:val="en-US" w:eastAsia="uk-UA"/>
        </w:rPr>
        <w:t>-</w:t>
      </w:r>
      <w:r w:rsidRPr="008D67ED">
        <w:rPr>
          <w:kern w:val="28"/>
          <w:sz w:val="20"/>
          <w:szCs w:val="20"/>
          <w:lang w:eastAsia="uk-UA"/>
        </w:rPr>
        <w:t xml:space="preserve"> 2001; 8</w:t>
      </w:r>
      <w:r w:rsidRPr="008D67ED">
        <w:rPr>
          <w:kern w:val="28"/>
          <w:sz w:val="20"/>
          <w:szCs w:val="20"/>
          <w:lang w:val="en-US" w:eastAsia="uk-UA"/>
        </w:rPr>
        <w:t>-</w:t>
      </w:r>
      <w:r w:rsidRPr="008D67ED">
        <w:rPr>
          <w:kern w:val="28"/>
          <w:sz w:val="20"/>
          <w:szCs w:val="20"/>
          <w:lang w:eastAsia="uk-UA"/>
        </w:rPr>
        <w:t>9</w:t>
      </w:r>
      <w:r w:rsidRPr="008D67ED">
        <w:rPr>
          <w:kern w:val="28"/>
          <w:sz w:val="20"/>
          <w:szCs w:val="20"/>
          <w:lang w:val="en-US" w:eastAsia="uk-UA"/>
        </w:rPr>
        <w:t>-</w:t>
      </w:r>
      <w:r w:rsidRPr="008D67ED">
        <w:rPr>
          <w:kern w:val="28"/>
          <w:sz w:val="20"/>
          <w:szCs w:val="20"/>
          <w:lang w:eastAsia="uk-UA"/>
        </w:rPr>
        <w:t>10:809</w:t>
      </w:r>
      <w:r w:rsidRPr="008D67ED">
        <w:rPr>
          <w:kern w:val="28"/>
          <w:sz w:val="20"/>
          <w:szCs w:val="20"/>
          <w:lang w:val="en-US" w:eastAsia="uk-UA"/>
        </w:rPr>
        <w:t>-13</w:t>
      </w:r>
      <w:r w:rsidRPr="008D67ED">
        <w:rPr>
          <w:kern w:val="28"/>
          <w:sz w:val="20"/>
          <w:szCs w:val="20"/>
          <w:lang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kern w:val="28"/>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rFonts w:eastAsia="TimesNewRomanPSMT"/>
          <w:kern w:val="28"/>
          <w:sz w:val="20"/>
          <w:szCs w:val="20"/>
          <w:lang w:val="en-US" w:eastAsia="uk-UA"/>
        </w:rPr>
        <w:t>Szylar</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Ponadczasowo</w:t>
      </w:r>
      <w:r w:rsidRPr="008D67ED">
        <w:rPr>
          <w:rFonts w:eastAsia="TimesNewRomanPSMT"/>
          <w:kern w:val="28"/>
          <w:sz w:val="20"/>
          <w:szCs w:val="20"/>
          <w:lang w:eastAsia="uk-UA"/>
        </w:rPr>
        <w:t xml:space="preserve">ść </w:t>
      </w:r>
      <w:r w:rsidRPr="008D67ED">
        <w:rPr>
          <w:rFonts w:eastAsia="TimesNewRomanPSMT"/>
          <w:kern w:val="28"/>
          <w:sz w:val="20"/>
          <w:szCs w:val="20"/>
          <w:lang w:val="en-US" w:eastAsia="uk-UA"/>
        </w:rPr>
        <w:t>postulat</w:t>
      </w:r>
      <w:r w:rsidRPr="008D67ED">
        <w:rPr>
          <w:rFonts w:eastAsia="TimesNewRomanPSMT"/>
          <w:kern w:val="28"/>
          <w:sz w:val="20"/>
          <w:szCs w:val="20"/>
          <w:lang w:eastAsia="uk-UA"/>
        </w:rPr>
        <w:t>ó</w:t>
      </w:r>
      <w:r w:rsidRPr="008D67ED">
        <w:rPr>
          <w:rFonts w:eastAsia="TimesNewRomanPSMT"/>
          <w:kern w:val="28"/>
          <w:sz w:val="20"/>
          <w:szCs w:val="20"/>
          <w:lang w:val="en-US" w:eastAsia="uk-UA"/>
        </w:rPr>
        <w:t>w</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pedagodicznych</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Henryka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Jordana</w:t>
      </w:r>
      <w:r w:rsidRPr="008D67ED">
        <w:rPr>
          <w:rFonts w:eastAsia="TimesNewRomanPSMT"/>
          <w:kern w:val="28"/>
          <w:sz w:val="20"/>
          <w:szCs w:val="20"/>
          <w:lang w:eastAsia="uk-UA"/>
        </w:rPr>
        <w:t xml:space="preserve"> </w:t>
      </w:r>
      <w:r w:rsidRPr="008D67ED">
        <w:rPr>
          <w:sz w:val="20"/>
          <w:szCs w:val="20"/>
          <w:lang w:eastAsia="uk-UA"/>
        </w:rPr>
        <w:t>[The timelessness of Henryk Jordan's pedagogical postulates]</w:t>
      </w:r>
      <w:r w:rsidRPr="008D67ED">
        <w:rPr>
          <w:rFonts w:eastAsia="TimesNewRomanPSMT"/>
          <w:kern w:val="28"/>
          <w:sz w:val="20"/>
          <w:szCs w:val="20"/>
          <w:lang w:eastAsia="uk-UA"/>
        </w:rPr>
        <w:t>. Kwartalnik Edukacyjny. O aktywności ruchowej</w:t>
      </w:r>
      <w:r w:rsidRPr="008D67ED">
        <w:rPr>
          <w:rFonts w:eastAsia="TimesNewRomanPSMT"/>
          <w:kern w:val="28"/>
          <w:sz w:val="20"/>
          <w:szCs w:val="20"/>
          <w:lang w:val="en-US" w:eastAsia="uk-UA"/>
        </w:rPr>
        <w:t>.</w:t>
      </w:r>
      <w:r w:rsidRPr="008D67ED">
        <w:rPr>
          <w:rFonts w:eastAsia="TimesNewRomanPSMT"/>
          <w:kern w:val="28"/>
          <w:sz w:val="20"/>
          <w:szCs w:val="20"/>
          <w:lang w:eastAsia="uk-UA"/>
        </w:rPr>
        <w:t xml:space="preserve"> 2015</w:t>
      </w:r>
      <w:r w:rsidRPr="008D67ED">
        <w:rPr>
          <w:rFonts w:eastAsia="TimesNewRomanPSMT"/>
          <w:kern w:val="28"/>
          <w:sz w:val="20"/>
          <w:szCs w:val="20"/>
          <w:lang w:val="en-US" w:eastAsia="uk-UA"/>
        </w:rPr>
        <w:t>;</w:t>
      </w:r>
      <w:r w:rsidRPr="008D67ED">
        <w:rPr>
          <w:rFonts w:eastAsia="TimesNewRomanPSMT"/>
          <w:kern w:val="28"/>
          <w:sz w:val="20"/>
          <w:szCs w:val="20"/>
          <w:lang w:eastAsia="uk-UA"/>
        </w:rPr>
        <w:t>2(81):14</w:t>
      </w:r>
      <w:r w:rsidRPr="008D67ED">
        <w:rPr>
          <w:rFonts w:eastAsia="TimesNewRomanPSMT"/>
          <w:kern w:val="28"/>
          <w:sz w:val="20"/>
          <w:szCs w:val="20"/>
          <w:lang w:val="en-US" w:eastAsia="uk-UA"/>
        </w:rPr>
        <w:t>-</w:t>
      </w:r>
      <w:r w:rsidRPr="008D67ED">
        <w:rPr>
          <w:rFonts w:eastAsia="TimesNewRomanPSMT"/>
          <w:kern w:val="28"/>
          <w:sz w:val="20"/>
          <w:szCs w:val="20"/>
          <w:lang w:eastAsia="uk-UA"/>
        </w:rPr>
        <w:t xml:space="preserve">30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rFonts w:eastAsia="TimesNewRomanPSMT"/>
          <w:kern w:val="28"/>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rFonts w:eastAsia="TimesNewRomanPSMT"/>
          <w:kern w:val="28"/>
          <w:sz w:val="20"/>
          <w:szCs w:val="20"/>
          <w:lang w:val="en-US" w:eastAsia="uk-UA"/>
        </w:rPr>
        <w:t>Matyjas</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B</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Dzia</w:t>
      </w:r>
      <w:r w:rsidRPr="008D67ED">
        <w:rPr>
          <w:rFonts w:eastAsia="TimesNewRomanPSMT"/>
          <w:kern w:val="28"/>
          <w:sz w:val="20"/>
          <w:szCs w:val="20"/>
          <w:lang w:eastAsia="uk-UA"/>
        </w:rPr>
        <w:t>ł</w:t>
      </w:r>
      <w:r w:rsidRPr="008D67ED">
        <w:rPr>
          <w:rFonts w:eastAsia="TimesNewRomanPSMT"/>
          <w:kern w:val="28"/>
          <w:sz w:val="20"/>
          <w:szCs w:val="20"/>
          <w:lang w:val="en-US" w:eastAsia="uk-UA"/>
        </w:rPr>
        <w:t>alno</w:t>
      </w:r>
      <w:r w:rsidRPr="008D67ED">
        <w:rPr>
          <w:rFonts w:eastAsia="TimesNewRomanPSMT"/>
          <w:kern w:val="28"/>
          <w:sz w:val="20"/>
          <w:szCs w:val="20"/>
          <w:lang w:eastAsia="uk-UA"/>
        </w:rPr>
        <w:t xml:space="preserve">ść </w:t>
      </w:r>
      <w:r w:rsidRPr="008D67ED">
        <w:rPr>
          <w:rFonts w:eastAsia="TimesNewRomanPSMT"/>
          <w:kern w:val="28"/>
          <w:sz w:val="20"/>
          <w:szCs w:val="20"/>
          <w:lang w:val="en-US" w:eastAsia="uk-UA"/>
        </w:rPr>
        <w:t>spo</w:t>
      </w:r>
      <w:r w:rsidRPr="008D67ED">
        <w:rPr>
          <w:rFonts w:eastAsia="TimesNewRomanPSMT"/>
          <w:kern w:val="28"/>
          <w:sz w:val="20"/>
          <w:szCs w:val="20"/>
          <w:lang w:eastAsia="uk-UA"/>
        </w:rPr>
        <w:t>ł</w:t>
      </w:r>
      <w:r w:rsidRPr="008D67ED">
        <w:rPr>
          <w:rFonts w:eastAsia="TimesNewRomanPSMT"/>
          <w:kern w:val="28"/>
          <w:sz w:val="20"/>
          <w:szCs w:val="20"/>
          <w:lang w:val="en-US" w:eastAsia="uk-UA"/>
        </w:rPr>
        <w:t>eczno</w:t>
      </w:r>
      <w:r w:rsidRPr="008D67ED">
        <w:rPr>
          <w:rFonts w:eastAsia="TimesNewRomanPSMT"/>
          <w:kern w:val="28"/>
          <w:sz w:val="20"/>
          <w:szCs w:val="20"/>
          <w:lang w:eastAsia="uk-UA"/>
        </w:rPr>
        <w:t>-</w:t>
      </w:r>
      <w:r w:rsidRPr="008D67ED">
        <w:rPr>
          <w:rFonts w:eastAsia="TimesNewRomanPSMT"/>
          <w:kern w:val="28"/>
          <w:sz w:val="20"/>
          <w:szCs w:val="20"/>
          <w:lang w:val="en-US" w:eastAsia="uk-UA"/>
        </w:rPr>
        <w:t>pedagogiczna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Henryka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Jordana</w:t>
      </w:r>
      <w:r w:rsidRPr="008D67ED">
        <w:rPr>
          <w:rFonts w:eastAsia="TimesNewRomanPSMT"/>
          <w:kern w:val="28"/>
          <w:sz w:val="20"/>
          <w:szCs w:val="20"/>
          <w:lang w:eastAsia="uk-UA"/>
        </w:rPr>
        <w:t xml:space="preserve"> </w:t>
      </w:r>
      <w:r w:rsidRPr="008D67ED">
        <w:rPr>
          <w:sz w:val="20"/>
          <w:szCs w:val="20"/>
          <w:lang w:eastAsia="uk-UA"/>
        </w:rPr>
        <w:t>[Henryk Jordan’s social and pedagogical activities]</w:t>
      </w:r>
      <w:r w:rsidRPr="008D67ED">
        <w:rPr>
          <w:rFonts w:eastAsia="TimesNewRomanPSMT"/>
          <w:kern w:val="28"/>
          <w:sz w:val="20"/>
          <w:szCs w:val="20"/>
          <w:lang w:eastAsia="uk-UA"/>
        </w:rPr>
        <w:t xml:space="preserve">. </w:t>
      </w:r>
      <w:r w:rsidRPr="008D67ED">
        <w:rPr>
          <w:bCs/>
          <w:kern w:val="28"/>
          <w:sz w:val="20"/>
          <w:szCs w:val="20"/>
          <w:lang w:val="en-US" w:eastAsia="uk-UA"/>
        </w:rPr>
        <w:t>Jordanowskie</w:t>
      </w:r>
      <w:r w:rsidRPr="008D67ED">
        <w:rPr>
          <w:bCs/>
          <w:kern w:val="28"/>
          <w:sz w:val="20"/>
          <w:szCs w:val="20"/>
          <w:lang w:eastAsia="uk-UA"/>
        </w:rPr>
        <w:t xml:space="preserve"> </w:t>
      </w:r>
      <w:r w:rsidRPr="008D67ED">
        <w:rPr>
          <w:bCs/>
          <w:kern w:val="28"/>
          <w:sz w:val="20"/>
          <w:szCs w:val="20"/>
          <w:lang w:val="en-US" w:eastAsia="uk-UA"/>
        </w:rPr>
        <w:t>idee</w:t>
      </w:r>
      <w:r w:rsidRPr="008D67ED">
        <w:rPr>
          <w:bCs/>
          <w:kern w:val="28"/>
          <w:sz w:val="20"/>
          <w:szCs w:val="20"/>
          <w:lang w:eastAsia="uk-UA"/>
        </w:rPr>
        <w:t xml:space="preserve"> </w:t>
      </w:r>
      <w:r w:rsidRPr="008D67ED">
        <w:rPr>
          <w:bCs/>
          <w:kern w:val="28"/>
          <w:sz w:val="20"/>
          <w:szCs w:val="20"/>
          <w:lang w:val="en-US" w:eastAsia="uk-UA"/>
        </w:rPr>
        <w:t>zdrowia</w:t>
      </w:r>
      <w:r w:rsidRPr="008D67ED">
        <w:rPr>
          <w:bCs/>
          <w:kern w:val="28"/>
          <w:sz w:val="20"/>
          <w:szCs w:val="20"/>
          <w:lang w:eastAsia="uk-UA"/>
        </w:rPr>
        <w:t xml:space="preserve"> </w:t>
      </w:r>
      <w:r w:rsidRPr="008D67ED">
        <w:rPr>
          <w:bCs/>
          <w:kern w:val="28"/>
          <w:sz w:val="20"/>
          <w:szCs w:val="20"/>
          <w:lang w:val="en-US" w:eastAsia="uk-UA"/>
        </w:rPr>
        <w:t>i</w:t>
      </w:r>
      <w:r w:rsidRPr="008D67ED">
        <w:rPr>
          <w:bCs/>
          <w:kern w:val="28"/>
          <w:sz w:val="20"/>
          <w:szCs w:val="20"/>
          <w:lang w:eastAsia="uk-UA"/>
        </w:rPr>
        <w:t xml:space="preserve"> </w:t>
      </w:r>
      <w:r w:rsidRPr="008D67ED">
        <w:rPr>
          <w:bCs/>
          <w:kern w:val="28"/>
          <w:sz w:val="20"/>
          <w:szCs w:val="20"/>
          <w:lang w:val="en-US" w:eastAsia="uk-UA"/>
        </w:rPr>
        <w:t>wychowania</w:t>
      </w:r>
      <w:r w:rsidRPr="008D67ED">
        <w:rPr>
          <w:bCs/>
          <w:kern w:val="28"/>
          <w:sz w:val="20"/>
          <w:szCs w:val="20"/>
          <w:lang w:eastAsia="uk-UA"/>
        </w:rPr>
        <w:t xml:space="preserve"> </w:t>
      </w:r>
      <w:r w:rsidRPr="008D67ED">
        <w:rPr>
          <w:bCs/>
          <w:kern w:val="28"/>
          <w:sz w:val="20"/>
          <w:szCs w:val="20"/>
          <w:lang w:val="en-US" w:eastAsia="uk-UA"/>
        </w:rPr>
        <w:t>fizycznego</w:t>
      </w:r>
      <w:r w:rsidRPr="008D67ED">
        <w:rPr>
          <w:bCs/>
          <w:kern w:val="28"/>
          <w:sz w:val="20"/>
          <w:szCs w:val="20"/>
          <w:lang w:eastAsia="uk-UA"/>
        </w:rPr>
        <w:t xml:space="preserve">: (100 </w:t>
      </w:r>
      <w:r w:rsidRPr="008D67ED">
        <w:rPr>
          <w:bCs/>
          <w:kern w:val="28"/>
          <w:sz w:val="20"/>
          <w:szCs w:val="20"/>
          <w:lang w:val="en-US" w:eastAsia="uk-UA"/>
        </w:rPr>
        <w:t>lat</w:t>
      </w:r>
      <w:r w:rsidRPr="008D67ED">
        <w:rPr>
          <w:bCs/>
          <w:kern w:val="28"/>
          <w:sz w:val="20"/>
          <w:szCs w:val="20"/>
          <w:lang w:eastAsia="uk-UA"/>
        </w:rPr>
        <w:t xml:space="preserve"> </w:t>
      </w:r>
      <w:r w:rsidRPr="008D67ED">
        <w:rPr>
          <w:bCs/>
          <w:kern w:val="28"/>
          <w:sz w:val="20"/>
          <w:szCs w:val="20"/>
          <w:lang w:val="en-US" w:eastAsia="uk-UA"/>
        </w:rPr>
        <w:t>p</w:t>
      </w:r>
      <w:r w:rsidRPr="008D67ED">
        <w:rPr>
          <w:bCs/>
          <w:kern w:val="28"/>
          <w:sz w:val="20"/>
          <w:szCs w:val="20"/>
          <w:lang w:eastAsia="uk-UA"/>
        </w:rPr>
        <w:t>óź</w:t>
      </w:r>
      <w:r w:rsidRPr="008D67ED">
        <w:rPr>
          <w:bCs/>
          <w:kern w:val="28"/>
          <w:sz w:val="20"/>
          <w:szCs w:val="20"/>
          <w:lang w:val="en-US" w:eastAsia="uk-UA"/>
        </w:rPr>
        <w:t>niej</w:t>
      </w:r>
      <w:r w:rsidRPr="008D67ED">
        <w:rPr>
          <w:bCs/>
          <w:kern w:val="28"/>
          <w:sz w:val="20"/>
          <w:szCs w:val="20"/>
          <w:lang w:eastAsia="uk-UA"/>
        </w:rPr>
        <w:t xml:space="preserve">) / </w:t>
      </w:r>
      <w:r w:rsidRPr="008D67ED">
        <w:rPr>
          <w:bCs/>
          <w:kern w:val="28"/>
          <w:sz w:val="20"/>
          <w:szCs w:val="20"/>
          <w:lang w:val="en-US" w:eastAsia="uk-UA"/>
        </w:rPr>
        <w:t>pod</w:t>
      </w:r>
      <w:r w:rsidRPr="008D67ED">
        <w:rPr>
          <w:bCs/>
          <w:kern w:val="28"/>
          <w:sz w:val="20"/>
          <w:szCs w:val="20"/>
          <w:lang w:eastAsia="uk-UA"/>
        </w:rPr>
        <w:t xml:space="preserve">. </w:t>
      </w:r>
      <w:r w:rsidRPr="008D67ED">
        <w:rPr>
          <w:bCs/>
          <w:kern w:val="28"/>
          <w:sz w:val="20"/>
          <w:szCs w:val="20"/>
          <w:lang w:val="en-US" w:eastAsia="uk-UA"/>
        </w:rPr>
        <w:t>red</w:t>
      </w:r>
      <w:r w:rsidRPr="008D67ED">
        <w:rPr>
          <w:bCs/>
          <w:kern w:val="28"/>
          <w:sz w:val="20"/>
          <w:szCs w:val="20"/>
          <w:lang w:eastAsia="uk-UA"/>
        </w:rPr>
        <w:t xml:space="preserve">. </w:t>
      </w:r>
      <w:r w:rsidRPr="008D67ED">
        <w:rPr>
          <w:bCs/>
          <w:kern w:val="28"/>
          <w:sz w:val="20"/>
          <w:szCs w:val="20"/>
          <w:lang w:val="en-US" w:eastAsia="uk-UA"/>
        </w:rPr>
        <w:t>M</w:t>
      </w:r>
      <w:r w:rsidRPr="008D67ED">
        <w:rPr>
          <w:bCs/>
          <w:kern w:val="28"/>
          <w:sz w:val="20"/>
          <w:szCs w:val="20"/>
          <w:lang w:eastAsia="uk-UA"/>
        </w:rPr>
        <w:t>. </w:t>
      </w:r>
      <w:r w:rsidRPr="008D67ED">
        <w:rPr>
          <w:bCs/>
          <w:kern w:val="28"/>
          <w:sz w:val="20"/>
          <w:szCs w:val="20"/>
          <w:lang w:val="en-US" w:eastAsia="uk-UA"/>
        </w:rPr>
        <w:t>Bukowca</w:t>
      </w:r>
      <w:r w:rsidRPr="008D67ED">
        <w:rPr>
          <w:bCs/>
          <w:kern w:val="28"/>
          <w:sz w:val="20"/>
          <w:szCs w:val="20"/>
          <w:lang w:eastAsia="uk-UA"/>
        </w:rPr>
        <w:t xml:space="preserve">, </w:t>
      </w:r>
      <w:r w:rsidRPr="008D67ED">
        <w:rPr>
          <w:bCs/>
          <w:kern w:val="28"/>
          <w:sz w:val="20"/>
          <w:szCs w:val="20"/>
          <w:lang w:val="en-US" w:eastAsia="uk-UA"/>
        </w:rPr>
        <w:t>B</w:t>
      </w:r>
      <w:r w:rsidRPr="008D67ED">
        <w:rPr>
          <w:bCs/>
          <w:kern w:val="28"/>
          <w:sz w:val="20"/>
          <w:szCs w:val="20"/>
          <w:lang w:eastAsia="uk-UA"/>
        </w:rPr>
        <w:t>. </w:t>
      </w:r>
      <w:r w:rsidRPr="008D67ED">
        <w:rPr>
          <w:bCs/>
          <w:kern w:val="28"/>
          <w:sz w:val="20"/>
          <w:szCs w:val="20"/>
          <w:lang w:val="en-US" w:eastAsia="uk-UA"/>
        </w:rPr>
        <w:t>Zawadzkiej</w:t>
      </w:r>
      <w:r w:rsidRPr="008D67ED">
        <w:rPr>
          <w:bCs/>
          <w:kern w:val="28"/>
          <w:sz w:val="20"/>
          <w:szCs w:val="20"/>
          <w:lang w:eastAsia="uk-UA"/>
        </w:rPr>
        <w:t xml:space="preserve">. </w:t>
      </w:r>
      <w:r w:rsidRPr="008D67ED">
        <w:rPr>
          <w:bCs/>
          <w:kern w:val="28"/>
          <w:sz w:val="20"/>
          <w:szCs w:val="20"/>
          <w:lang w:val="en-US" w:eastAsia="uk-UA"/>
        </w:rPr>
        <w:t>Kielce;</w:t>
      </w:r>
      <w:r w:rsidRPr="008D67ED">
        <w:rPr>
          <w:bCs/>
          <w:kern w:val="28"/>
          <w:sz w:val="20"/>
          <w:szCs w:val="20"/>
          <w:lang w:eastAsia="uk-UA"/>
        </w:rPr>
        <w:t xml:space="preserve"> </w:t>
      </w:r>
      <w:r w:rsidRPr="008D67ED">
        <w:rPr>
          <w:rFonts w:eastAsia="TimesNewRomanPSMT"/>
          <w:kern w:val="28"/>
          <w:sz w:val="20"/>
          <w:szCs w:val="20"/>
          <w:lang w:eastAsia="uk-UA"/>
        </w:rPr>
        <w:t>2008</w:t>
      </w:r>
      <w:r w:rsidRPr="008D67ED">
        <w:rPr>
          <w:rFonts w:eastAsia="TimesNewRomanPSMT"/>
          <w:kern w:val="28"/>
          <w:sz w:val="20"/>
          <w:szCs w:val="20"/>
          <w:lang w:val="en-US" w:eastAsia="uk-UA"/>
        </w:rPr>
        <w:t xml:space="preserve">. </w:t>
      </w:r>
      <w:r w:rsidRPr="008D67ED">
        <w:rPr>
          <w:bCs/>
          <w:kern w:val="28"/>
          <w:sz w:val="20"/>
          <w:szCs w:val="20"/>
          <w:lang w:val="en-US" w:eastAsia="uk-UA"/>
        </w:rPr>
        <w:t>p</w:t>
      </w:r>
      <w:r w:rsidRPr="008D67ED">
        <w:rPr>
          <w:bCs/>
          <w:kern w:val="28"/>
          <w:sz w:val="20"/>
          <w:szCs w:val="20"/>
          <w:lang w:eastAsia="uk-UA"/>
        </w:rPr>
        <w:t>.</w:t>
      </w:r>
      <w:r w:rsidRPr="008D67ED">
        <w:rPr>
          <w:bCs/>
          <w:kern w:val="28"/>
          <w:sz w:val="20"/>
          <w:szCs w:val="20"/>
          <w:lang w:val="en-US" w:eastAsia="uk-UA"/>
        </w:rPr>
        <w:t> </w:t>
      </w:r>
      <w:r w:rsidRPr="008D67ED">
        <w:rPr>
          <w:bCs/>
          <w:kern w:val="28"/>
          <w:sz w:val="20"/>
          <w:szCs w:val="20"/>
          <w:lang w:eastAsia="uk-UA"/>
        </w:rPr>
        <w:t>2</w:t>
      </w:r>
      <w:r w:rsidRPr="008D67ED">
        <w:rPr>
          <w:bCs/>
          <w:kern w:val="28"/>
          <w:sz w:val="20"/>
          <w:szCs w:val="20"/>
          <w:lang w:val="en-US" w:eastAsia="uk-UA"/>
        </w:rPr>
        <w:t xml:space="preserve">9-33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bCs/>
          <w:kern w:val="28"/>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bCs/>
          <w:kern w:val="28"/>
          <w:sz w:val="20"/>
          <w:szCs w:val="20"/>
          <w:lang w:eastAsia="uk-UA"/>
        </w:rPr>
        <w:t>Ż</w:t>
      </w:r>
      <w:r w:rsidRPr="008D67ED">
        <w:rPr>
          <w:bCs/>
          <w:kern w:val="28"/>
          <w:sz w:val="20"/>
          <w:szCs w:val="20"/>
          <w:lang w:val="en-US" w:eastAsia="uk-UA"/>
        </w:rPr>
        <w:t>michrowska</w:t>
      </w:r>
      <w:r w:rsidRPr="008D67ED">
        <w:rPr>
          <w:bCs/>
          <w:kern w:val="28"/>
          <w:sz w:val="20"/>
          <w:szCs w:val="20"/>
          <w:lang w:eastAsia="uk-UA"/>
        </w:rPr>
        <w:t xml:space="preserve"> </w:t>
      </w:r>
      <w:r w:rsidRPr="008D67ED">
        <w:rPr>
          <w:bCs/>
          <w:kern w:val="28"/>
          <w:sz w:val="20"/>
          <w:szCs w:val="20"/>
          <w:lang w:val="en-US" w:eastAsia="uk-UA"/>
        </w:rPr>
        <w:t>MJ</w:t>
      </w:r>
      <w:r w:rsidRPr="008D67ED">
        <w:rPr>
          <w:bCs/>
          <w:kern w:val="28"/>
          <w:sz w:val="20"/>
          <w:szCs w:val="20"/>
          <w:lang w:eastAsia="uk-UA"/>
        </w:rPr>
        <w:t xml:space="preserve">. </w:t>
      </w:r>
      <w:r w:rsidRPr="008D67ED">
        <w:rPr>
          <w:bCs/>
          <w:kern w:val="28"/>
          <w:sz w:val="20"/>
          <w:szCs w:val="20"/>
          <w:lang w:val="en-US" w:eastAsia="uk-UA"/>
        </w:rPr>
        <w:t>Dzia</w:t>
      </w:r>
      <w:r w:rsidRPr="008D67ED">
        <w:rPr>
          <w:bCs/>
          <w:kern w:val="28"/>
          <w:sz w:val="20"/>
          <w:szCs w:val="20"/>
          <w:lang w:eastAsia="uk-UA"/>
        </w:rPr>
        <w:t>ł</w:t>
      </w:r>
      <w:r w:rsidRPr="008D67ED">
        <w:rPr>
          <w:bCs/>
          <w:kern w:val="28"/>
          <w:sz w:val="20"/>
          <w:szCs w:val="20"/>
          <w:lang w:val="en-US" w:eastAsia="uk-UA"/>
        </w:rPr>
        <w:t>alno</w:t>
      </w:r>
      <w:r w:rsidRPr="008D67ED">
        <w:rPr>
          <w:bCs/>
          <w:kern w:val="28"/>
          <w:sz w:val="20"/>
          <w:szCs w:val="20"/>
          <w:lang w:eastAsia="uk-UA"/>
        </w:rPr>
        <w:t xml:space="preserve">ść </w:t>
      </w:r>
      <w:r w:rsidRPr="008D67ED">
        <w:rPr>
          <w:bCs/>
          <w:kern w:val="28"/>
          <w:sz w:val="20"/>
          <w:szCs w:val="20"/>
          <w:lang w:val="en-US" w:eastAsia="uk-UA"/>
        </w:rPr>
        <w:t>pedagogiczna</w:t>
      </w:r>
      <w:r w:rsidRPr="008D67ED">
        <w:rPr>
          <w:bCs/>
          <w:kern w:val="28"/>
          <w:sz w:val="20"/>
          <w:szCs w:val="20"/>
          <w:lang w:eastAsia="uk-UA"/>
        </w:rPr>
        <w:t xml:space="preserve"> </w:t>
      </w:r>
      <w:r w:rsidRPr="008D67ED">
        <w:rPr>
          <w:bCs/>
          <w:kern w:val="28"/>
          <w:sz w:val="20"/>
          <w:szCs w:val="20"/>
          <w:lang w:val="en-US" w:eastAsia="uk-UA"/>
        </w:rPr>
        <w:t>Henryka</w:t>
      </w:r>
      <w:r w:rsidRPr="008D67ED">
        <w:rPr>
          <w:bCs/>
          <w:kern w:val="28"/>
          <w:sz w:val="20"/>
          <w:szCs w:val="20"/>
          <w:lang w:eastAsia="uk-UA"/>
        </w:rPr>
        <w:t xml:space="preserve"> </w:t>
      </w:r>
      <w:r w:rsidRPr="008D67ED">
        <w:rPr>
          <w:bCs/>
          <w:kern w:val="28"/>
          <w:sz w:val="20"/>
          <w:szCs w:val="20"/>
          <w:lang w:val="en-US" w:eastAsia="uk-UA"/>
        </w:rPr>
        <w:t>Jordana</w:t>
      </w:r>
      <w:r w:rsidRPr="008D67ED">
        <w:rPr>
          <w:bCs/>
          <w:kern w:val="28"/>
          <w:sz w:val="20"/>
          <w:szCs w:val="20"/>
          <w:lang w:eastAsia="uk-UA"/>
        </w:rPr>
        <w:t xml:space="preserve"> (1842‒1907) </w:t>
      </w:r>
      <w:r w:rsidRPr="008D67ED">
        <w:rPr>
          <w:sz w:val="20"/>
          <w:szCs w:val="20"/>
          <w:lang w:eastAsia="uk-UA"/>
        </w:rPr>
        <w:t>[Henryk Jordan’s pedagogical activity (1842‒1907)]</w:t>
      </w:r>
      <w:r w:rsidRPr="008D67ED">
        <w:rPr>
          <w:bCs/>
          <w:kern w:val="28"/>
          <w:sz w:val="20"/>
          <w:szCs w:val="20"/>
          <w:lang w:eastAsia="uk-UA"/>
        </w:rPr>
        <w:t xml:space="preserve">. </w:t>
      </w:r>
      <w:r w:rsidRPr="008D67ED">
        <w:rPr>
          <w:bCs/>
          <w:kern w:val="28"/>
          <w:sz w:val="20"/>
          <w:szCs w:val="20"/>
          <w:lang w:val="en-US" w:eastAsia="uk-UA"/>
        </w:rPr>
        <w:t>Prace</w:t>
      </w:r>
      <w:r w:rsidRPr="008D67ED">
        <w:rPr>
          <w:bCs/>
          <w:kern w:val="28"/>
          <w:sz w:val="20"/>
          <w:szCs w:val="20"/>
          <w:lang w:eastAsia="uk-UA"/>
        </w:rPr>
        <w:t xml:space="preserve"> </w:t>
      </w:r>
      <w:r w:rsidRPr="008D67ED">
        <w:rPr>
          <w:bCs/>
          <w:kern w:val="28"/>
          <w:sz w:val="20"/>
          <w:szCs w:val="20"/>
          <w:lang w:val="en-US" w:eastAsia="uk-UA"/>
        </w:rPr>
        <w:t>Naukowe</w:t>
      </w:r>
      <w:r w:rsidRPr="008D67ED">
        <w:rPr>
          <w:bCs/>
          <w:kern w:val="28"/>
          <w:sz w:val="20"/>
          <w:szCs w:val="20"/>
          <w:lang w:eastAsia="uk-UA"/>
        </w:rPr>
        <w:t xml:space="preserve"> </w:t>
      </w:r>
      <w:r w:rsidRPr="008D67ED">
        <w:rPr>
          <w:bCs/>
          <w:kern w:val="28"/>
          <w:sz w:val="20"/>
          <w:szCs w:val="20"/>
          <w:lang w:val="en-US" w:eastAsia="uk-UA"/>
        </w:rPr>
        <w:t>Wa</w:t>
      </w:r>
      <w:r w:rsidRPr="008D67ED">
        <w:rPr>
          <w:bCs/>
          <w:kern w:val="28"/>
          <w:sz w:val="20"/>
          <w:szCs w:val="20"/>
          <w:lang w:eastAsia="uk-UA"/>
        </w:rPr>
        <w:t>ł</w:t>
      </w:r>
      <w:r w:rsidRPr="008D67ED">
        <w:rPr>
          <w:bCs/>
          <w:kern w:val="28"/>
          <w:sz w:val="20"/>
          <w:szCs w:val="20"/>
          <w:lang w:val="en-US" w:eastAsia="uk-UA"/>
        </w:rPr>
        <w:t>brzyskiej</w:t>
      </w:r>
      <w:r w:rsidRPr="008D67ED">
        <w:rPr>
          <w:bCs/>
          <w:kern w:val="28"/>
          <w:sz w:val="20"/>
          <w:szCs w:val="20"/>
          <w:lang w:eastAsia="uk-UA"/>
        </w:rPr>
        <w:t xml:space="preserve"> </w:t>
      </w:r>
      <w:r w:rsidRPr="008D67ED">
        <w:rPr>
          <w:bCs/>
          <w:kern w:val="28"/>
          <w:sz w:val="20"/>
          <w:szCs w:val="20"/>
          <w:lang w:val="en-US" w:eastAsia="uk-UA"/>
        </w:rPr>
        <w:t>Wy</w:t>
      </w:r>
      <w:r w:rsidRPr="008D67ED">
        <w:rPr>
          <w:bCs/>
          <w:kern w:val="28"/>
          <w:sz w:val="20"/>
          <w:szCs w:val="20"/>
          <w:lang w:eastAsia="uk-UA"/>
        </w:rPr>
        <w:t>ż</w:t>
      </w:r>
      <w:r w:rsidRPr="008D67ED">
        <w:rPr>
          <w:bCs/>
          <w:kern w:val="28"/>
          <w:sz w:val="20"/>
          <w:szCs w:val="20"/>
          <w:lang w:val="en-US" w:eastAsia="uk-UA"/>
        </w:rPr>
        <w:t>sej</w:t>
      </w:r>
      <w:r w:rsidRPr="008D67ED">
        <w:rPr>
          <w:bCs/>
          <w:kern w:val="28"/>
          <w:sz w:val="20"/>
          <w:szCs w:val="20"/>
          <w:lang w:eastAsia="uk-UA"/>
        </w:rPr>
        <w:t xml:space="preserve"> </w:t>
      </w:r>
      <w:r w:rsidRPr="008D67ED">
        <w:rPr>
          <w:bCs/>
          <w:kern w:val="28"/>
          <w:sz w:val="20"/>
          <w:szCs w:val="20"/>
          <w:lang w:val="en-US" w:eastAsia="uk-UA"/>
        </w:rPr>
        <w:t>Szko</w:t>
      </w:r>
      <w:r w:rsidRPr="008D67ED">
        <w:rPr>
          <w:bCs/>
          <w:kern w:val="28"/>
          <w:sz w:val="20"/>
          <w:szCs w:val="20"/>
          <w:lang w:eastAsia="uk-UA"/>
        </w:rPr>
        <w:t>ł</w:t>
      </w:r>
      <w:r w:rsidRPr="008D67ED">
        <w:rPr>
          <w:bCs/>
          <w:kern w:val="28"/>
          <w:sz w:val="20"/>
          <w:szCs w:val="20"/>
          <w:lang w:val="en-US" w:eastAsia="uk-UA"/>
        </w:rPr>
        <w:t>y</w:t>
      </w:r>
      <w:r w:rsidRPr="008D67ED">
        <w:rPr>
          <w:bCs/>
          <w:kern w:val="28"/>
          <w:sz w:val="20"/>
          <w:szCs w:val="20"/>
          <w:lang w:eastAsia="uk-UA"/>
        </w:rPr>
        <w:t xml:space="preserve"> </w:t>
      </w:r>
      <w:r w:rsidRPr="008D67ED">
        <w:rPr>
          <w:bCs/>
          <w:kern w:val="28"/>
          <w:sz w:val="20"/>
          <w:szCs w:val="20"/>
          <w:lang w:val="en-US" w:eastAsia="uk-UA"/>
        </w:rPr>
        <w:t>Zarz</w:t>
      </w:r>
      <w:r w:rsidRPr="008D67ED">
        <w:rPr>
          <w:bCs/>
          <w:kern w:val="28"/>
          <w:sz w:val="20"/>
          <w:szCs w:val="20"/>
          <w:lang w:eastAsia="uk-UA"/>
        </w:rPr>
        <w:t>ą</w:t>
      </w:r>
      <w:r w:rsidRPr="008D67ED">
        <w:rPr>
          <w:bCs/>
          <w:kern w:val="28"/>
          <w:sz w:val="20"/>
          <w:szCs w:val="20"/>
          <w:lang w:val="en-US" w:eastAsia="uk-UA"/>
        </w:rPr>
        <w:t>dzania</w:t>
      </w:r>
      <w:r w:rsidRPr="008D67ED">
        <w:rPr>
          <w:bCs/>
          <w:kern w:val="28"/>
          <w:sz w:val="20"/>
          <w:szCs w:val="20"/>
          <w:lang w:eastAsia="uk-UA"/>
        </w:rPr>
        <w:t xml:space="preserve"> </w:t>
      </w:r>
      <w:r w:rsidRPr="008D67ED">
        <w:rPr>
          <w:bCs/>
          <w:kern w:val="28"/>
          <w:sz w:val="20"/>
          <w:szCs w:val="20"/>
          <w:lang w:val="en-US" w:eastAsia="uk-UA"/>
        </w:rPr>
        <w:t>i</w:t>
      </w:r>
      <w:r w:rsidRPr="008D67ED">
        <w:rPr>
          <w:bCs/>
          <w:kern w:val="28"/>
          <w:sz w:val="20"/>
          <w:szCs w:val="20"/>
          <w:lang w:eastAsia="uk-UA"/>
        </w:rPr>
        <w:t xml:space="preserve"> </w:t>
      </w:r>
      <w:r w:rsidRPr="008D67ED">
        <w:rPr>
          <w:bCs/>
          <w:kern w:val="28"/>
          <w:sz w:val="20"/>
          <w:szCs w:val="20"/>
          <w:lang w:val="en-US" w:eastAsia="uk-UA"/>
        </w:rPr>
        <w:t>Przedsi</w:t>
      </w:r>
      <w:r w:rsidRPr="008D67ED">
        <w:rPr>
          <w:bCs/>
          <w:kern w:val="28"/>
          <w:sz w:val="20"/>
          <w:szCs w:val="20"/>
          <w:lang w:eastAsia="uk-UA"/>
        </w:rPr>
        <w:t>ę</w:t>
      </w:r>
      <w:r w:rsidRPr="008D67ED">
        <w:rPr>
          <w:bCs/>
          <w:kern w:val="28"/>
          <w:sz w:val="20"/>
          <w:szCs w:val="20"/>
          <w:lang w:val="en-US" w:eastAsia="uk-UA"/>
        </w:rPr>
        <w:t>biorczo</w:t>
      </w:r>
      <w:r w:rsidRPr="008D67ED">
        <w:rPr>
          <w:bCs/>
          <w:kern w:val="28"/>
          <w:sz w:val="20"/>
          <w:szCs w:val="20"/>
          <w:lang w:eastAsia="uk-UA"/>
        </w:rPr>
        <w:t>ś</w:t>
      </w:r>
      <w:r w:rsidRPr="008D67ED">
        <w:rPr>
          <w:bCs/>
          <w:kern w:val="28"/>
          <w:sz w:val="20"/>
          <w:szCs w:val="20"/>
          <w:lang w:val="en-US" w:eastAsia="uk-UA"/>
        </w:rPr>
        <w:t>ci</w:t>
      </w:r>
      <w:r w:rsidRPr="008D67ED">
        <w:rPr>
          <w:bCs/>
          <w:kern w:val="28"/>
          <w:sz w:val="20"/>
          <w:szCs w:val="20"/>
          <w:lang w:eastAsia="uk-UA"/>
        </w:rPr>
        <w:t xml:space="preserve">. </w:t>
      </w:r>
      <w:r w:rsidRPr="008D67ED">
        <w:rPr>
          <w:bCs/>
          <w:kern w:val="28"/>
          <w:sz w:val="20"/>
          <w:szCs w:val="20"/>
          <w:lang w:val="en-US" w:eastAsia="uk-UA"/>
        </w:rPr>
        <w:t>Zeszyty</w:t>
      </w:r>
      <w:r w:rsidRPr="008D67ED">
        <w:rPr>
          <w:bCs/>
          <w:kern w:val="28"/>
          <w:sz w:val="20"/>
          <w:szCs w:val="20"/>
          <w:lang w:eastAsia="uk-UA"/>
        </w:rPr>
        <w:t xml:space="preserve"> </w:t>
      </w:r>
      <w:r w:rsidRPr="008D67ED">
        <w:rPr>
          <w:bCs/>
          <w:kern w:val="28"/>
          <w:sz w:val="20"/>
          <w:szCs w:val="20"/>
          <w:lang w:val="en-US" w:eastAsia="uk-UA"/>
        </w:rPr>
        <w:t>Pedagogiczno</w:t>
      </w:r>
      <w:r w:rsidRPr="008D67ED">
        <w:rPr>
          <w:bCs/>
          <w:kern w:val="28"/>
          <w:sz w:val="20"/>
          <w:szCs w:val="20"/>
          <w:lang w:eastAsia="uk-UA"/>
        </w:rPr>
        <w:t>-</w:t>
      </w:r>
      <w:r w:rsidRPr="008D67ED">
        <w:rPr>
          <w:bCs/>
          <w:kern w:val="28"/>
          <w:sz w:val="20"/>
          <w:szCs w:val="20"/>
          <w:lang w:val="en-US" w:eastAsia="uk-UA"/>
        </w:rPr>
        <w:t>Medyczne</w:t>
      </w:r>
      <w:r w:rsidRPr="008D67ED">
        <w:rPr>
          <w:bCs/>
          <w:kern w:val="28"/>
          <w:sz w:val="20"/>
          <w:szCs w:val="20"/>
          <w:lang w:eastAsia="uk-UA"/>
        </w:rPr>
        <w:t>. 2012</w:t>
      </w:r>
      <w:r w:rsidRPr="008D67ED">
        <w:rPr>
          <w:bCs/>
          <w:kern w:val="28"/>
          <w:sz w:val="20"/>
          <w:szCs w:val="20"/>
          <w:lang w:val="en-US" w:eastAsia="uk-UA"/>
        </w:rPr>
        <w:t>;</w:t>
      </w:r>
      <w:r w:rsidRPr="008D67ED">
        <w:rPr>
          <w:bCs/>
          <w:kern w:val="28"/>
          <w:sz w:val="20"/>
          <w:szCs w:val="20"/>
          <w:lang w:eastAsia="uk-UA"/>
        </w:rPr>
        <w:t>18(2):7</w:t>
      </w:r>
      <w:r w:rsidRPr="008D67ED">
        <w:rPr>
          <w:bCs/>
          <w:kern w:val="28"/>
          <w:sz w:val="20"/>
          <w:szCs w:val="20"/>
          <w:lang w:val="en-US" w:eastAsia="uk-UA"/>
        </w:rPr>
        <w:t>-</w:t>
      </w:r>
      <w:r w:rsidRPr="008D67ED">
        <w:rPr>
          <w:bCs/>
          <w:kern w:val="28"/>
          <w:sz w:val="20"/>
          <w:szCs w:val="20"/>
          <w:lang w:eastAsia="uk-UA"/>
        </w:rPr>
        <w:t xml:space="preserve">14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bCs/>
          <w:kern w:val="28"/>
          <w:sz w:val="20"/>
          <w:szCs w:val="20"/>
          <w:lang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rFonts w:eastAsia="TimesNewRomanPSMT"/>
          <w:kern w:val="28"/>
          <w:sz w:val="20"/>
          <w:szCs w:val="20"/>
          <w:lang w:eastAsia="uk-UA"/>
        </w:rPr>
        <w:t>Ł</w:t>
      </w:r>
      <w:r w:rsidRPr="008D67ED">
        <w:rPr>
          <w:rFonts w:eastAsia="TimesNewRomanPSMT"/>
          <w:kern w:val="28"/>
          <w:sz w:val="20"/>
          <w:szCs w:val="20"/>
          <w:lang w:val="en-US" w:eastAsia="uk-UA"/>
        </w:rPr>
        <w:t>uczy</w:t>
      </w:r>
      <w:r w:rsidRPr="008D67ED">
        <w:rPr>
          <w:rFonts w:eastAsia="TimesNewRomanPSMT"/>
          <w:kern w:val="28"/>
          <w:sz w:val="20"/>
          <w:szCs w:val="20"/>
          <w:lang w:eastAsia="uk-UA"/>
        </w:rPr>
        <w:t>ń</w:t>
      </w:r>
      <w:r w:rsidRPr="008D67ED">
        <w:rPr>
          <w:rFonts w:eastAsia="TimesNewRomanPSMT"/>
          <w:kern w:val="28"/>
          <w:sz w:val="20"/>
          <w:szCs w:val="20"/>
          <w:lang w:val="en-US" w:eastAsia="uk-UA"/>
        </w:rPr>
        <w:t>ska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B</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Fenomen</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Henryka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Jordana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Naukowca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lekarza</w:t>
      </w:r>
      <w:r w:rsidRPr="008D67ED">
        <w:rPr>
          <w:rFonts w:eastAsia="TimesNewRomanPSMT"/>
          <w:kern w:val="28"/>
          <w:sz w:val="20"/>
          <w:szCs w:val="20"/>
          <w:lang w:val="en-US" w:eastAsia="uk-UA"/>
        </w:rPr>
        <w:noBreakHyphen/>
        <w:t>spolecznika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propagatora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prawa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dziecka</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do</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ruchu</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i</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rekreacji</w:t>
      </w:r>
      <w:r w:rsidRPr="008D67ED">
        <w:rPr>
          <w:rFonts w:eastAsia="TimesNewRomanPSMT"/>
          <w:kern w:val="28"/>
          <w:sz w:val="20"/>
          <w:szCs w:val="20"/>
          <w:lang w:eastAsia="uk-UA"/>
        </w:rPr>
        <w:t xml:space="preserve"> </w:t>
      </w:r>
      <w:r w:rsidRPr="008D67ED">
        <w:rPr>
          <w:sz w:val="20"/>
          <w:szCs w:val="20"/>
          <w:lang w:eastAsia="uk-UA"/>
        </w:rPr>
        <w:t>[The Phenomenon of Henryk Jordan: Scientist, Physician, Social Activist, and Promoter of Children’s Rights to Exercise and Recreation]</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Krak</w:t>
      </w:r>
      <w:r w:rsidRPr="008D67ED">
        <w:rPr>
          <w:rFonts w:eastAsia="TimesNewRomanPSMT"/>
          <w:kern w:val="28"/>
          <w:sz w:val="20"/>
          <w:szCs w:val="20"/>
          <w:lang w:eastAsia="uk-UA"/>
        </w:rPr>
        <w:t>ó</w:t>
      </w:r>
      <w:r w:rsidRPr="008D67ED">
        <w:rPr>
          <w:rFonts w:eastAsia="TimesNewRomanPSMT"/>
          <w:kern w:val="28"/>
          <w:sz w:val="20"/>
          <w:szCs w:val="20"/>
          <w:lang w:val="en-US" w:eastAsia="uk-UA"/>
        </w:rPr>
        <w:t>w</w:t>
      </w:r>
      <w:r w:rsidRPr="008D67ED">
        <w:rPr>
          <w:rFonts w:eastAsia="TimesNewRomanPSMT"/>
          <w:kern w:val="28"/>
          <w:sz w:val="20"/>
          <w:szCs w:val="20"/>
          <w:lang w:eastAsia="uk-UA"/>
        </w:rPr>
        <w:t>:</w:t>
      </w:r>
      <w:r w:rsidRPr="008D67ED">
        <w:rPr>
          <w:kern w:val="28"/>
          <w:sz w:val="20"/>
          <w:szCs w:val="20"/>
          <w:lang w:eastAsia="uk-UA"/>
        </w:rPr>
        <w:t xml:space="preserve"> </w:t>
      </w:r>
      <w:r w:rsidRPr="008D67ED">
        <w:rPr>
          <w:kern w:val="28"/>
          <w:sz w:val="20"/>
          <w:szCs w:val="20"/>
          <w:lang w:val="en-US" w:eastAsia="uk-UA"/>
        </w:rPr>
        <w:t>Wydawnictwo</w:t>
      </w:r>
      <w:r w:rsidRPr="008D67ED">
        <w:rPr>
          <w:kern w:val="28"/>
          <w:sz w:val="20"/>
          <w:szCs w:val="20"/>
          <w:lang w:eastAsia="uk-UA"/>
        </w:rPr>
        <w:t xml:space="preserve"> </w:t>
      </w:r>
      <w:r w:rsidRPr="008D67ED">
        <w:rPr>
          <w:kern w:val="28"/>
          <w:sz w:val="20"/>
          <w:szCs w:val="20"/>
          <w:lang w:val="en-US" w:eastAsia="uk-UA"/>
        </w:rPr>
        <w:t>Uniwersytetu</w:t>
      </w:r>
      <w:r w:rsidRPr="008D67ED">
        <w:rPr>
          <w:kern w:val="28"/>
          <w:sz w:val="20"/>
          <w:szCs w:val="20"/>
          <w:lang w:eastAsia="uk-UA"/>
        </w:rPr>
        <w:t xml:space="preserve"> </w:t>
      </w:r>
      <w:r w:rsidRPr="008D67ED">
        <w:rPr>
          <w:kern w:val="28"/>
          <w:sz w:val="20"/>
          <w:szCs w:val="20"/>
          <w:lang w:val="en-US" w:eastAsia="uk-UA"/>
        </w:rPr>
        <w:t>Jagiello</w:t>
      </w:r>
      <w:r w:rsidRPr="008D67ED">
        <w:rPr>
          <w:kern w:val="28"/>
          <w:sz w:val="20"/>
          <w:szCs w:val="20"/>
          <w:lang w:eastAsia="uk-UA"/>
        </w:rPr>
        <w:t>ń</w:t>
      </w:r>
      <w:r w:rsidRPr="008D67ED">
        <w:rPr>
          <w:kern w:val="28"/>
          <w:sz w:val="20"/>
          <w:szCs w:val="20"/>
          <w:lang w:val="en-US" w:eastAsia="uk-UA"/>
        </w:rPr>
        <w:t>skiego</w:t>
      </w:r>
      <w:r w:rsidRPr="008D67ED">
        <w:rPr>
          <w:rFonts w:eastAsia="TimesNewRomanPSMT"/>
          <w:kern w:val="28"/>
          <w:sz w:val="20"/>
          <w:szCs w:val="20"/>
          <w:lang w:val="en-US" w:eastAsia="uk-UA"/>
        </w:rPr>
        <w:t>;</w:t>
      </w:r>
      <w:r w:rsidRPr="008D67ED">
        <w:rPr>
          <w:rFonts w:eastAsia="TimesNewRomanPSMT"/>
          <w:kern w:val="28"/>
          <w:sz w:val="20"/>
          <w:szCs w:val="20"/>
          <w:lang w:eastAsia="uk-UA"/>
        </w:rPr>
        <w:t xml:space="preserve"> </w:t>
      </w:r>
      <w:r w:rsidRPr="008D67ED">
        <w:rPr>
          <w:rFonts w:eastAsia="TimesNewRomanPSMT"/>
          <w:kern w:val="28"/>
          <w:sz w:val="20"/>
          <w:szCs w:val="20"/>
          <w:lang w:val="en-US" w:eastAsia="uk-UA"/>
        </w:rPr>
        <w:t xml:space="preserve">2002. </w:t>
      </w:r>
      <w:r w:rsidRPr="008D67ED">
        <w:rPr>
          <w:rFonts w:eastAsia="TimesNewRomanPSMT"/>
          <w:kern w:val="28"/>
          <w:sz w:val="20"/>
          <w:szCs w:val="20"/>
          <w:lang w:eastAsia="uk-UA"/>
        </w:rPr>
        <w:t xml:space="preserve">104 </w:t>
      </w:r>
      <w:r w:rsidRPr="008D67ED">
        <w:rPr>
          <w:rFonts w:eastAsia="TimesNewRomanPSMT"/>
          <w:kern w:val="28"/>
          <w:sz w:val="20"/>
          <w:szCs w:val="20"/>
          <w:lang w:val="en-US" w:eastAsia="uk-UA"/>
        </w:rPr>
        <w:t>p</w:t>
      </w:r>
      <w:r w:rsidRPr="008D67ED">
        <w:rPr>
          <w:rFonts w:eastAsia="TimesNewRomanPSMT"/>
          <w:kern w:val="28"/>
          <w:sz w:val="20"/>
          <w:szCs w:val="20"/>
          <w:lang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bCs/>
          <w:sz w:val="20"/>
          <w:szCs w:val="20"/>
          <w:lang w:eastAsia="uk-UA"/>
        </w:rPr>
        <w:t>Bukow</w:t>
      </w:r>
      <w:r w:rsidRPr="008D67ED">
        <w:rPr>
          <w:bCs/>
          <w:sz w:val="20"/>
          <w:szCs w:val="20"/>
          <w:lang w:val="en-US" w:eastAsia="uk-UA"/>
        </w:rPr>
        <w:t>e</w:t>
      </w:r>
      <w:r w:rsidRPr="008D67ED">
        <w:rPr>
          <w:bCs/>
          <w:sz w:val="20"/>
          <w:szCs w:val="20"/>
          <w:lang w:eastAsia="uk-UA"/>
        </w:rPr>
        <w:t>c M</w:t>
      </w:r>
      <w:r w:rsidRPr="008D67ED">
        <w:rPr>
          <w:bCs/>
          <w:sz w:val="20"/>
          <w:szCs w:val="20"/>
          <w:lang w:val="pl-PL" w:eastAsia="uk-UA"/>
        </w:rPr>
        <w:t>.</w:t>
      </w:r>
      <w:r w:rsidRPr="008D67ED">
        <w:rPr>
          <w:bCs/>
          <w:sz w:val="20"/>
          <w:szCs w:val="20"/>
          <w:lang w:eastAsia="uk-UA"/>
        </w:rPr>
        <w:t>, Zawadzk</w:t>
      </w:r>
      <w:r w:rsidRPr="008D67ED">
        <w:rPr>
          <w:bCs/>
          <w:sz w:val="20"/>
          <w:szCs w:val="20"/>
          <w:lang w:val="en-US" w:eastAsia="uk-UA"/>
        </w:rPr>
        <w:t>aja</w:t>
      </w:r>
      <w:r w:rsidRPr="008D67ED">
        <w:rPr>
          <w:sz w:val="20"/>
          <w:szCs w:val="20"/>
          <w:lang w:val="en-US" w:eastAsia="uk-UA"/>
        </w:rPr>
        <w:t xml:space="preserve"> </w:t>
      </w:r>
      <w:r w:rsidRPr="008D67ED">
        <w:rPr>
          <w:bCs/>
          <w:sz w:val="20"/>
          <w:szCs w:val="20"/>
          <w:lang w:eastAsia="uk-UA"/>
        </w:rPr>
        <w:t>B</w:t>
      </w:r>
      <w:r w:rsidRPr="008D67ED">
        <w:rPr>
          <w:bCs/>
          <w:sz w:val="20"/>
          <w:szCs w:val="20"/>
          <w:lang w:val="pl-PL" w:eastAsia="uk-UA"/>
        </w:rPr>
        <w:t>. (</w:t>
      </w:r>
      <w:r w:rsidRPr="008D67ED">
        <w:rPr>
          <w:bCs/>
          <w:sz w:val="20"/>
          <w:szCs w:val="20"/>
          <w:lang w:val="en-US" w:eastAsia="uk-UA"/>
        </w:rPr>
        <w:t>red</w:t>
      </w:r>
      <w:r w:rsidRPr="008D67ED">
        <w:rPr>
          <w:bCs/>
          <w:sz w:val="20"/>
          <w:szCs w:val="20"/>
          <w:lang w:eastAsia="uk-UA"/>
        </w:rPr>
        <w:t>.</w:t>
      </w:r>
      <w:r w:rsidRPr="008D67ED">
        <w:rPr>
          <w:bCs/>
          <w:sz w:val="20"/>
          <w:szCs w:val="20"/>
          <w:lang w:val="pl-PL" w:eastAsia="uk-UA"/>
        </w:rPr>
        <w:t xml:space="preserve">). </w:t>
      </w:r>
      <w:r w:rsidRPr="008D67ED">
        <w:rPr>
          <w:sz w:val="20"/>
          <w:szCs w:val="20"/>
          <w:lang w:val="en-US" w:eastAsia="uk-UA"/>
        </w:rPr>
        <w:t>Jordanowskie</w:t>
      </w:r>
      <w:r w:rsidRPr="008D67ED">
        <w:rPr>
          <w:sz w:val="20"/>
          <w:szCs w:val="20"/>
          <w:lang w:eastAsia="uk-UA"/>
        </w:rPr>
        <w:t xml:space="preserve"> </w:t>
      </w:r>
      <w:r w:rsidRPr="008D67ED">
        <w:rPr>
          <w:sz w:val="20"/>
          <w:szCs w:val="20"/>
          <w:lang w:val="en-US" w:eastAsia="uk-UA"/>
        </w:rPr>
        <w:t>idee</w:t>
      </w:r>
      <w:r w:rsidRPr="008D67ED">
        <w:rPr>
          <w:bCs/>
          <w:sz w:val="20"/>
          <w:szCs w:val="20"/>
          <w:lang w:eastAsia="uk-UA"/>
        </w:rPr>
        <w:t xml:space="preserve"> </w:t>
      </w:r>
      <w:r w:rsidRPr="008D67ED">
        <w:rPr>
          <w:bCs/>
          <w:sz w:val="20"/>
          <w:szCs w:val="20"/>
          <w:lang w:val="en-US" w:eastAsia="uk-UA"/>
        </w:rPr>
        <w:t>zdrowia</w:t>
      </w:r>
      <w:r w:rsidRPr="008D67ED">
        <w:rPr>
          <w:bCs/>
          <w:sz w:val="20"/>
          <w:szCs w:val="20"/>
          <w:lang w:eastAsia="uk-UA"/>
        </w:rPr>
        <w:t xml:space="preserve"> </w:t>
      </w:r>
      <w:r w:rsidRPr="008D67ED">
        <w:rPr>
          <w:bCs/>
          <w:sz w:val="20"/>
          <w:szCs w:val="20"/>
          <w:lang w:val="en-US" w:eastAsia="uk-UA"/>
        </w:rPr>
        <w:t>i</w:t>
      </w:r>
      <w:r w:rsidRPr="008D67ED">
        <w:rPr>
          <w:bCs/>
          <w:sz w:val="20"/>
          <w:szCs w:val="20"/>
          <w:lang w:eastAsia="uk-UA"/>
        </w:rPr>
        <w:t xml:space="preserve"> </w:t>
      </w:r>
      <w:r w:rsidRPr="008D67ED">
        <w:rPr>
          <w:bCs/>
          <w:sz w:val="20"/>
          <w:szCs w:val="20"/>
          <w:lang w:val="en-US" w:eastAsia="uk-UA"/>
        </w:rPr>
        <w:t>wychowania</w:t>
      </w:r>
      <w:r w:rsidRPr="008D67ED">
        <w:rPr>
          <w:bCs/>
          <w:sz w:val="20"/>
          <w:szCs w:val="20"/>
          <w:lang w:eastAsia="uk-UA"/>
        </w:rPr>
        <w:t xml:space="preserve"> </w:t>
      </w:r>
      <w:r w:rsidRPr="008D67ED">
        <w:rPr>
          <w:bCs/>
          <w:sz w:val="20"/>
          <w:szCs w:val="20"/>
          <w:lang w:val="en-US" w:eastAsia="uk-UA"/>
        </w:rPr>
        <w:t>fizycznego</w:t>
      </w:r>
      <w:r w:rsidRPr="008D67ED">
        <w:rPr>
          <w:bCs/>
          <w:sz w:val="20"/>
          <w:szCs w:val="20"/>
          <w:lang w:eastAsia="uk-UA"/>
        </w:rPr>
        <w:t xml:space="preserve">: (100 </w:t>
      </w:r>
      <w:r w:rsidRPr="008D67ED">
        <w:rPr>
          <w:bCs/>
          <w:sz w:val="20"/>
          <w:szCs w:val="20"/>
          <w:lang w:val="en-US" w:eastAsia="uk-UA"/>
        </w:rPr>
        <w:t>lat</w:t>
      </w:r>
      <w:r w:rsidRPr="008D67ED">
        <w:rPr>
          <w:bCs/>
          <w:sz w:val="20"/>
          <w:szCs w:val="20"/>
          <w:lang w:eastAsia="uk-UA"/>
        </w:rPr>
        <w:t xml:space="preserve"> </w:t>
      </w:r>
      <w:r w:rsidRPr="008D67ED">
        <w:rPr>
          <w:bCs/>
          <w:sz w:val="20"/>
          <w:szCs w:val="20"/>
          <w:lang w:val="en-US" w:eastAsia="uk-UA"/>
        </w:rPr>
        <w:t>p</w:t>
      </w:r>
      <w:r w:rsidRPr="008D67ED">
        <w:rPr>
          <w:bCs/>
          <w:sz w:val="20"/>
          <w:szCs w:val="20"/>
          <w:lang w:eastAsia="uk-UA"/>
        </w:rPr>
        <w:t>óź</w:t>
      </w:r>
      <w:r w:rsidRPr="008D67ED">
        <w:rPr>
          <w:bCs/>
          <w:sz w:val="20"/>
          <w:szCs w:val="20"/>
          <w:lang w:val="en-US" w:eastAsia="uk-UA"/>
        </w:rPr>
        <w:t>niej</w:t>
      </w:r>
      <w:r w:rsidRPr="008D67ED">
        <w:rPr>
          <w:bCs/>
          <w:sz w:val="20"/>
          <w:szCs w:val="20"/>
          <w:lang w:eastAsia="uk-UA"/>
        </w:rPr>
        <w:t xml:space="preserve">) </w:t>
      </w:r>
      <w:r w:rsidRPr="008D67ED">
        <w:rPr>
          <w:sz w:val="20"/>
          <w:szCs w:val="20"/>
          <w:shd w:val="clear" w:color="auto" w:fill="FFFFFF"/>
          <w:lang w:eastAsia="uk-UA"/>
        </w:rPr>
        <w:t>[Jordan’s ideas of health and physical education: (100 years later)]</w:t>
      </w:r>
      <w:r w:rsidRPr="008D67ED">
        <w:rPr>
          <w:sz w:val="20"/>
          <w:szCs w:val="20"/>
          <w:shd w:val="clear" w:color="auto" w:fill="FFFFFF"/>
          <w:lang w:val="en-US" w:eastAsia="uk-UA"/>
        </w:rPr>
        <w:t>.</w:t>
      </w:r>
      <w:r w:rsidRPr="008D67ED">
        <w:rPr>
          <w:bCs/>
          <w:sz w:val="20"/>
          <w:szCs w:val="20"/>
          <w:lang w:eastAsia="uk-UA"/>
        </w:rPr>
        <w:t xml:space="preserve"> Kielce: Wszechnica Świętokrzyska</w:t>
      </w:r>
      <w:r w:rsidRPr="008D67ED">
        <w:rPr>
          <w:bCs/>
          <w:sz w:val="20"/>
          <w:szCs w:val="20"/>
          <w:lang w:val="en-US" w:eastAsia="uk-UA"/>
        </w:rPr>
        <w:t>;</w:t>
      </w:r>
      <w:r w:rsidRPr="008D67ED">
        <w:rPr>
          <w:bCs/>
          <w:sz w:val="20"/>
          <w:szCs w:val="20"/>
          <w:lang w:eastAsia="uk-UA"/>
        </w:rPr>
        <w:t xml:space="preserve"> 2008. 117</w:t>
      </w:r>
      <w:r w:rsidRPr="008D67ED">
        <w:rPr>
          <w:bCs/>
          <w:sz w:val="20"/>
          <w:szCs w:val="20"/>
          <w:lang w:val="en-US" w:eastAsia="uk-UA"/>
        </w:rPr>
        <w:t> </w:t>
      </w:r>
      <w:r w:rsidRPr="008D67ED">
        <w:rPr>
          <w:bCs/>
          <w:sz w:val="20"/>
          <w:szCs w:val="20"/>
          <w:lang w:eastAsia="uk-UA"/>
        </w:rPr>
        <w:t>s.</w:t>
      </w:r>
      <w:r w:rsidRPr="008D67ED">
        <w:rPr>
          <w:bCs/>
          <w:sz w:val="20"/>
          <w:szCs w:val="20"/>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rFonts w:eastAsia="TimesNewRomanPSMT"/>
          <w:kern w:val="28"/>
          <w:sz w:val="20"/>
          <w:szCs w:val="20"/>
          <w:lang w:eastAsia="uk-UA"/>
        </w:rPr>
      </w:pPr>
      <w:r w:rsidRPr="008D67ED">
        <w:rPr>
          <w:bCs/>
          <w:kern w:val="28"/>
          <w:sz w:val="20"/>
          <w:szCs w:val="20"/>
          <w:lang w:val="en-US" w:eastAsia="uk-UA"/>
        </w:rPr>
        <w:t>Jordan</w:t>
      </w:r>
      <w:r w:rsidRPr="008D67ED">
        <w:rPr>
          <w:bCs/>
          <w:kern w:val="28"/>
          <w:sz w:val="20"/>
          <w:szCs w:val="20"/>
          <w:lang w:eastAsia="uk-UA"/>
        </w:rPr>
        <w:t xml:space="preserve"> </w:t>
      </w:r>
      <w:r w:rsidRPr="008D67ED">
        <w:rPr>
          <w:bCs/>
          <w:kern w:val="28"/>
          <w:sz w:val="20"/>
          <w:szCs w:val="20"/>
          <w:lang w:val="en-US" w:eastAsia="uk-UA"/>
        </w:rPr>
        <w:t>H</w:t>
      </w:r>
      <w:r w:rsidRPr="008D67ED">
        <w:rPr>
          <w:bCs/>
          <w:kern w:val="28"/>
          <w:sz w:val="20"/>
          <w:szCs w:val="20"/>
          <w:lang w:eastAsia="uk-UA"/>
        </w:rPr>
        <w:t xml:space="preserve">. </w:t>
      </w:r>
      <w:r w:rsidRPr="008D67ED">
        <w:rPr>
          <w:bCs/>
          <w:kern w:val="28"/>
          <w:sz w:val="20"/>
          <w:szCs w:val="20"/>
          <w:lang w:val="en-US" w:eastAsia="uk-UA"/>
        </w:rPr>
        <w:t>O</w:t>
      </w:r>
      <w:r w:rsidRPr="008D67ED">
        <w:rPr>
          <w:bCs/>
          <w:kern w:val="28"/>
          <w:sz w:val="20"/>
          <w:szCs w:val="20"/>
          <w:lang w:eastAsia="uk-UA"/>
        </w:rPr>
        <w:t xml:space="preserve"> </w:t>
      </w:r>
      <w:r w:rsidRPr="008D67ED">
        <w:rPr>
          <w:bCs/>
          <w:kern w:val="28"/>
          <w:sz w:val="20"/>
          <w:szCs w:val="20"/>
          <w:lang w:val="en-US" w:eastAsia="uk-UA"/>
        </w:rPr>
        <w:t>zabawach</w:t>
      </w:r>
      <w:r w:rsidRPr="008D67ED">
        <w:rPr>
          <w:bCs/>
          <w:kern w:val="28"/>
          <w:sz w:val="20"/>
          <w:szCs w:val="20"/>
          <w:lang w:eastAsia="uk-UA"/>
        </w:rPr>
        <w:t xml:space="preserve"> </w:t>
      </w:r>
      <w:r w:rsidRPr="008D67ED">
        <w:rPr>
          <w:bCs/>
          <w:kern w:val="28"/>
          <w:sz w:val="20"/>
          <w:szCs w:val="20"/>
          <w:lang w:val="en-US" w:eastAsia="uk-UA"/>
        </w:rPr>
        <w:t>m</w:t>
      </w:r>
      <w:r w:rsidRPr="008D67ED">
        <w:rPr>
          <w:bCs/>
          <w:kern w:val="28"/>
          <w:sz w:val="20"/>
          <w:szCs w:val="20"/>
          <w:lang w:eastAsia="uk-UA"/>
        </w:rPr>
        <w:t>ł</w:t>
      </w:r>
      <w:r w:rsidRPr="008D67ED">
        <w:rPr>
          <w:bCs/>
          <w:kern w:val="28"/>
          <w:sz w:val="20"/>
          <w:szCs w:val="20"/>
          <w:lang w:val="en-US" w:eastAsia="uk-UA"/>
        </w:rPr>
        <w:t>odzie</w:t>
      </w:r>
      <w:r w:rsidRPr="008D67ED">
        <w:rPr>
          <w:bCs/>
          <w:kern w:val="28"/>
          <w:sz w:val="20"/>
          <w:szCs w:val="20"/>
          <w:lang w:eastAsia="uk-UA"/>
        </w:rPr>
        <w:t>ż</w:t>
      </w:r>
      <w:r w:rsidRPr="008D67ED">
        <w:rPr>
          <w:bCs/>
          <w:kern w:val="28"/>
          <w:sz w:val="20"/>
          <w:szCs w:val="20"/>
          <w:lang w:val="en-US" w:eastAsia="uk-UA"/>
        </w:rPr>
        <w:t>y</w:t>
      </w:r>
      <w:r w:rsidRPr="008D67ED">
        <w:rPr>
          <w:bCs/>
          <w:kern w:val="28"/>
          <w:sz w:val="20"/>
          <w:szCs w:val="20"/>
          <w:lang w:eastAsia="uk-UA"/>
        </w:rPr>
        <w:t xml:space="preserve">. </w:t>
      </w:r>
      <w:r w:rsidRPr="008D67ED">
        <w:rPr>
          <w:bCs/>
          <w:kern w:val="28"/>
          <w:sz w:val="20"/>
          <w:szCs w:val="20"/>
          <w:lang w:val="en-US" w:eastAsia="uk-UA"/>
        </w:rPr>
        <w:t>Odczyt</w:t>
      </w:r>
      <w:r w:rsidRPr="008D67ED">
        <w:rPr>
          <w:bCs/>
          <w:kern w:val="28"/>
          <w:sz w:val="20"/>
          <w:szCs w:val="20"/>
          <w:lang w:eastAsia="uk-UA"/>
        </w:rPr>
        <w:t xml:space="preserve"> </w:t>
      </w:r>
      <w:r w:rsidRPr="008D67ED">
        <w:rPr>
          <w:bCs/>
          <w:kern w:val="28"/>
          <w:sz w:val="20"/>
          <w:szCs w:val="20"/>
          <w:lang w:val="en-US" w:eastAsia="uk-UA"/>
        </w:rPr>
        <w:t>prof</w:t>
      </w:r>
      <w:r w:rsidRPr="008D67ED">
        <w:rPr>
          <w:bCs/>
          <w:kern w:val="28"/>
          <w:sz w:val="20"/>
          <w:szCs w:val="20"/>
          <w:lang w:eastAsia="uk-UA"/>
        </w:rPr>
        <w:t xml:space="preserve">. </w:t>
      </w:r>
      <w:r w:rsidRPr="008D67ED">
        <w:rPr>
          <w:bCs/>
          <w:kern w:val="28"/>
          <w:sz w:val="20"/>
          <w:szCs w:val="20"/>
          <w:lang w:val="en-US" w:eastAsia="uk-UA"/>
        </w:rPr>
        <w:t>dr</w:t>
      </w:r>
      <w:r w:rsidRPr="008D67ED">
        <w:rPr>
          <w:bCs/>
          <w:kern w:val="28"/>
          <w:sz w:val="20"/>
          <w:szCs w:val="20"/>
          <w:lang w:eastAsia="uk-UA"/>
        </w:rPr>
        <w:t xml:space="preserve"> </w:t>
      </w:r>
      <w:r w:rsidRPr="008D67ED">
        <w:rPr>
          <w:bCs/>
          <w:kern w:val="28"/>
          <w:sz w:val="20"/>
          <w:szCs w:val="20"/>
          <w:lang w:val="en-US" w:eastAsia="uk-UA"/>
        </w:rPr>
        <w:t>Henryka</w:t>
      </w:r>
      <w:r w:rsidRPr="008D67ED">
        <w:rPr>
          <w:bCs/>
          <w:kern w:val="28"/>
          <w:sz w:val="20"/>
          <w:szCs w:val="20"/>
          <w:lang w:eastAsia="uk-UA"/>
        </w:rPr>
        <w:t xml:space="preserve"> </w:t>
      </w:r>
      <w:r w:rsidRPr="008D67ED">
        <w:rPr>
          <w:bCs/>
          <w:kern w:val="28"/>
          <w:sz w:val="20"/>
          <w:szCs w:val="20"/>
          <w:lang w:val="en-US" w:eastAsia="uk-UA"/>
        </w:rPr>
        <w:t>Jordana</w:t>
      </w:r>
      <w:r w:rsidRPr="008D67ED">
        <w:rPr>
          <w:bCs/>
          <w:kern w:val="28"/>
          <w:sz w:val="20"/>
          <w:szCs w:val="20"/>
          <w:lang w:eastAsia="uk-UA"/>
        </w:rPr>
        <w:t xml:space="preserve"> </w:t>
      </w:r>
      <w:r w:rsidRPr="008D67ED">
        <w:rPr>
          <w:bCs/>
          <w:kern w:val="28"/>
          <w:sz w:val="20"/>
          <w:szCs w:val="20"/>
          <w:lang w:val="en-US" w:eastAsia="uk-UA"/>
        </w:rPr>
        <w:t>wyg</w:t>
      </w:r>
      <w:r w:rsidRPr="008D67ED">
        <w:rPr>
          <w:bCs/>
          <w:kern w:val="28"/>
          <w:sz w:val="20"/>
          <w:szCs w:val="20"/>
          <w:lang w:eastAsia="uk-UA"/>
        </w:rPr>
        <w:t>ł</w:t>
      </w:r>
      <w:r w:rsidRPr="008D67ED">
        <w:rPr>
          <w:bCs/>
          <w:kern w:val="28"/>
          <w:sz w:val="20"/>
          <w:szCs w:val="20"/>
          <w:lang w:val="en-US" w:eastAsia="uk-UA"/>
        </w:rPr>
        <w:t>oszony</w:t>
      </w:r>
      <w:r w:rsidRPr="008D67ED">
        <w:rPr>
          <w:bCs/>
          <w:kern w:val="28"/>
          <w:sz w:val="20"/>
          <w:szCs w:val="20"/>
          <w:lang w:eastAsia="uk-UA"/>
        </w:rPr>
        <w:t xml:space="preserve"> </w:t>
      </w:r>
      <w:r w:rsidRPr="008D67ED">
        <w:rPr>
          <w:bCs/>
          <w:kern w:val="28"/>
          <w:sz w:val="20"/>
          <w:szCs w:val="20"/>
          <w:lang w:val="en-US" w:eastAsia="uk-UA"/>
        </w:rPr>
        <w:t>we</w:t>
      </w:r>
      <w:r w:rsidRPr="008D67ED">
        <w:rPr>
          <w:bCs/>
          <w:kern w:val="28"/>
          <w:sz w:val="20"/>
          <w:szCs w:val="20"/>
          <w:lang w:eastAsia="uk-UA"/>
        </w:rPr>
        <w:t xml:space="preserve"> </w:t>
      </w:r>
      <w:r w:rsidRPr="008D67ED">
        <w:rPr>
          <w:bCs/>
          <w:kern w:val="28"/>
          <w:sz w:val="20"/>
          <w:szCs w:val="20"/>
          <w:lang w:val="en-US" w:eastAsia="uk-UA"/>
        </w:rPr>
        <w:t>Lwowie</w:t>
      </w:r>
      <w:r w:rsidRPr="008D67ED">
        <w:rPr>
          <w:bCs/>
          <w:kern w:val="28"/>
          <w:sz w:val="20"/>
          <w:szCs w:val="20"/>
          <w:lang w:eastAsia="uk-UA"/>
        </w:rPr>
        <w:t xml:space="preserve"> </w:t>
      </w:r>
      <w:r w:rsidRPr="008D67ED">
        <w:rPr>
          <w:bCs/>
          <w:kern w:val="28"/>
          <w:sz w:val="20"/>
          <w:szCs w:val="20"/>
          <w:lang w:val="en-US" w:eastAsia="uk-UA"/>
        </w:rPr>
        <w:t>w</w:t>
      </w:r>
      <w:r w:rsidRPr="008D67ED">
        <w:rPr>
          <w:bCs/>
          <w:kern w:val="28"/>
          <w:sz w:val="20"/>
          <w:szCs w:val="20"/>
          <w:lang w:eastAsia="uk-UA"/>
        </w:rPr>
        <w:t xml:space="preserve"> </w:t>
      </w:r>
      <w:r w:rsidRPr="008D67ED">
        <w:rPr>
          <w:bCs/>
          <w:kern w:val="28"/>
          <w:sz w:val="20"/>
          <w:szCs w:val="20"/>
          <w:lang w:val="en-US" w:eastAsia="uk-UA"/>
        </w:rPr>
        <w:t>Sali</w:t>
      </w:r>
      <w:r w:rsidRPr="008D67ED">
        <w:rPr>
          <w:bCs/>
          <w:kern w:val="28"/>
          <w:sz w:val="20"/>
          <w:szCs w:val="20"/>
          <w:lang w:eastAsia="uk-UA"/>
        </w:rPr>
        <w:t xml:space="preserve"> «</w:t>
      </w:r>
      <w:r w:rsidRPr="008D67ED">
        <w:rPr>
          <w:bCs/>
          <w:kern w:val="28"/>
          <w:sz w:val="20"/>
          <w:szCs w:val="20"/>
          <w:lang w:val="en-US" w:eastAsia="uk-UA"/>
        </w:rPr>
        <w:t>Soko</w:t>
      </w:r>
      <w:r w:rsidRPr="008D67ED">
        <w:rPr>
          <w:bCs/>
          <w:kern w:val="28"/>
          <w:sz w:val="20"/>
          <w:szCs w:val="20"/>
          <w:lang w:eastAsia="uk-UA"/>
        </w:rPr>
        <w:t>ł</w:t>
      </w:r>
      <w:r w:rsidRPr="008D67ED">
        <w:rPr>
          <w:bCs/>
          <w:kern w:val="28"/>
          <w:sz w:val="20"/>
          <w:szCs w:val="20"/>
          <w:lang w:val="en-US" w:eastAsia="uk-UA"/>
        </w:rPr>
        <w:t>a</w:t>
      </w:r>
      <w:r w:rsidRPr="008D67ED">
        <w:rPr>
          <w:bCs/>
          <w:kern w:val="28"/>
          <w:sz w:val="20"/>
          <w:szCs w:val="20"/>
          <w:lang w:eastAsia="uk-UA"/>
        </w:rPr>
        <w:t xml:space="preserve">» </w:t>
      </w:r>
      <w:r w:rsidRPr="008D67ED">
        <w:rPr>
          <w:bCs/>
          <w:kern w:val="28"/>
          <w:sz w:val="20"/>
          <w:szCs w:val="20"/>
          <w:lang w:val="en-US" w:eastAsia="uk-UA"/>
        </w:rPr>
        <w:t>dnia</w:t>
      </w:r>
      <w:r w:rsidRPr="008D67ED">
        <w:rPr>
          <w:bCs/>
          <w:kern w:val="28"/>
          <w:sz w:val="20"/>
          <w:szCs w:val="20"/>
          <w:lang w:eastAsia="uk-UA"/>
        </w:rPr>
        <w:t xml:space="preserve"> 4 </w:t>
      </w:r>
      <w:r w:rsidRPr="008D67ED">
        <w:rPr>
          <w:bCs/>
          <w:kern w:val="28"/>
          <w:sz w:val="20"/>
          <w:szCs w:val="20"/>
          <w:lang w:val="en-US" w:eastAsia="uk-UA"/>
        </w:rPr>
        <w:t>stycznia</w:t>
      </w:r>
      <w:r w:rsidRPr="008D67ED">
        <w:rPr>
          <w:bCs/>
          <w:kern w:val="28"/>
          <w:sz w:val="20"/>
          <w:szCs w:val="20"/>
          <w:lang w:eastAsia="uk-UA"/>
        </w:rPr>
        <w:t xml:space="preserve"> 1891 </w:t>
      </w:r>
      <w:r w:rsidRPr="008D67ED">
        <w:rPr>
          <w:bCs/>
          <w:kern w:val="28"/>
          <w:sz w:val="20"/>
          <w:szCs w:val="20"/>
          <w:lang w:val="en-US" w:eastAsia="uk-UA"/>
        </w:rPr>
        <w:t>roku</w:t>
      </w:r>
      <w:r w:rsidRPr="008D67ED">
        <w:rPr>
          <w:bCs/>
          <w:kern w:val="28"/>
          <w:sz w:val="20"/>
          <w:szCs w:val="20"/>
          <w:lang w:eastAsia="uk-UA"/>
        </w:rPr>
        <w:t xml:space="preserve"> </w:t>
      </w:r>
      <w:r w:rsidRPr="008D67ED">
        <w:rPr>
          <w:sz w:val="20"/>
          <w:szCs w:val="20"/>
          <w:lang w:val="en-US" w:eastAsia="uk-UA"/>
        </w:rPr>
        <w:t>[On Youth’s Amusements. A Lecture by Professor Dr. Henryk Jordan Delivered in Lviv at the Sokół Hall on January 4, 1891]</w:t>
      </w:r>
      <w:r w:rsidRPr="008D67ED">
        <w:rPr>
          <w:bCs/>
          <w:kern w:val="28"/>
          <w:sz w:val="20"/>
          <w:szCs w:val="20"/>
          <w:lang w:val="en-US" w:eastAsia="uk-UA"/>
        </w:rPr>
        <w:t>. Przewodnik Higieniczny. 1891;</w:t>
      </w:r>
      <w:r w:rsidRPr="008D67ED">
        <w:rPr>
          <w:bCs/>
          <w:kern w:val="28"/>
          <w:sz w:val="20"/>
          <w:szCs w:val="20"/>
          <w:lang w:eastAsia="uk-UA"/>
        </w:rPr>
        <w:t>1</w:t>
      </w:r>
      <w:r w:rsidRPr="008D67ED">
        <w:rPr>
          <w:bCs/>
          <w:kern w:val="28"/>
          <w:sz w:val="20"/>
          <w:szCs w:val="20"/>
          <w:lang w:val="en-US" w:eastAsia="uk-UA"/>
        </w:rPr>
        <w:t>:1-20;</w:t>
      </w:r>
      <w:r w:rsidRPr="008D67ED">
        <w:rPr>
          <w:color w:val="000000"/>
          <w:kern w:val="28"/>
          <w:sz w:val="20"/>
          <w:szCs w:val="20"/>
          <w:shd w:val="clear" w:color="auto" w:fill="FFFFFF"/>
          <w:lang w:val="en-US" w:eastAsia="uk-UA"/>
        </w:rPr>
        <w:t xml:space="preserve"> 2:</w:t>
      </w:r>
      <w:r w:rsidRPr="008D67ED">
        <w:rPr>
          <w:color w:val="000000"/>
          <w:kern w:val="28"/>
          <w:sz w:val="20"/>
          <w:szCs w:val="20"/>
          <w:shd w:val="clear" w:color="auto" w:fill="FFFFFF"/>
          <w:lang w:eastAsia="uk-UA"/>
        </w:rPr>
        <w:t>35</w:t>
      </w:r>
      <w:r w:rsidRPr="008D67ED">
        <w:rPr>
          <w:color w:val="000000"/>
          <w:kern w:val="28"/>
          <w:sz w:val="20"/>
          <w:szCs w:val="20"/>
          <w:shd w:val="clear" w:color="auto" w:fill="FFFFFF"/>
          <w:lang w:val="en-US" w:eastAsia="uk-UA"/>
        </w:rPr>
        <w:t>-</w:t>
      </w:r>
      <w:r w:rsidRPr="008D67ED">
        <w:rPr>
          <w:color w:val="000000"/>
          <w:kern w:val="28"/>
          <w:sz w:val="20"/>
          <w:szCs w:val="20"/>
          <w:shd w:val="clear" w:color="auto" w:fill="FFFFFF"/>
          <w:lang w:eastAsia="uk-UA"/>
        </w:rPr>
        <w:t>6</w:t>
      </w:r>
      <w:r w:rsidRPr="008D67ED">
        <w:rPr>
          <w:color w:val="000000"/>
          <w:kern w:val="28"/>
          <w:sz w:val="20"/>
          <w:szCs w:val="20"/>
          <w:shd w:val="clear" w:color="auto" w:fill="FFFFFF"/>
          <w:lang w:val="en-US" w:eastAsia="uk-UA"/>
        </w:rPr>
        <w:t xml:space="preserve"> </w:t>
      </w:r>
      <w:r w:rsidRPr="008D67ED">
        <w:rPr>
          <w:sz w:val="20"/>
          <w:szCs w:val="20"/>
          <w:lang w:eastAsia="uk-UA"/>
        </w:rPr>
        <w:t>[</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Polish</w:t>
      </w:r>
      <w:r w:rsidRPr="008D67ED">
        <w:rPr>
          <w:sz w:val="20"/>
          <w:szCs w:val="20"/>
          <w:lang w:eastAsia="uk-UA"/>
        </w:rPr>
        <w:t>]</w:t>
      </w:r>
      <w:r w:rsidRPr="008D67ED">
        <w:rPr>
          <w:color w:val="000000"/>
          <w:kern w:val="28"/>
          <w:sz w:val="20"/>
          <w:szCs w:val="20"/>
          <w:shd w:val="clear" w:color="auto" w:fill="FFFFFF"/>
          <w:lang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kern w:val="36"/>
          <w:sz w:val="20"/>
          <w:szCs w:val="20"/>
          <w:lang w:eastAsia="uk-UA"/>
        </w:rPr>
        <w:t xml:space="preserve">Kotys O. Yordanskyi sad u Lutsku. Chudova ideia profesora hinekolohii 1930-kh </w:t>
      </w:r>
      <w:r w:rsidRPr="008D67ED">
        <w:rPr>
          <w:sz w:val="20"/>
          <w:szCs w:val="20"/>
          <w:lang w:eastAsia="uk-UA"/>
        </w:rPr>
        <w:t>[</w:t>
      </w:r>
      <w:r w:rsidRPr="008D67ED">
        <w:rPr>
          <w:sz w:val="20"/>
          <w:szCs w:val="20"/>
          <w:lang w:val="en-US" w:eastAsia="uk-UA"/>
        </w:rPr>
        <w:t>J</w:t>
      </w:r>
      <w:r w:rsidRPr="008D67ED">
        <w:rPr>
          <w:sz w:val="20"/>
          <w:szCs w:val="20"/>
          <w:lang w:eastAsia="uk-UA"/>
        </w:rPr>
        <w:t>ordan Garden in Lutsk. A wonderful idea of a gynecology professor in the 1930s]</w:t>
      </w:r>
      <w:r w:rsidRPr="008D67ED">
        <w:rPr>
          <w:kern w:val="36"/>
          <w:sz w:val="20"/>
          <w:szCs w:val="20"/>
          <w:lang w:eastAsia="uk-UA"/>
        </w:rPr>
        <w:t xml:space="preserve">. </w:t>
      </w:r>
      <w:r w:rsidRPr="008D67ED">
        <w:rPr>
          <w:sz w:val="20"/>
          <w:szCs w:val="20"/>
          <w:lang w:eastAsia="uk-UA"/>
        </w:rPr>
        <w:t xml:space="preserve">Fotohrafii staroho Lvova: vebsait. </w:t>
      </w:r>
      <w:r w:rsidRPr="008D67ED">
        <w:rPr>
          <w:kern w:val="36"/>
          <w:sz w:val="20"/>
          <w:szCs w:val="20"/>
          <w:lang w:val="en-US" w:eastAsia="uk-UA"/>
        </w:rPr>
        <w:t xml:space="preserve">2019. </w:t>
      </w:r>
      <w:r w:rsidRPr="008D67ED">
        <w:rPr>
          <w:sz w:val="20"/>
          <w:szCs w:val="20"/>
          <w:lang w:val="en-US" w:eastAsia="uk-UA"/>
        </w:rPr>
        <w:t>URL</w:t>
      </w:r>
      <w:r w:rsidRPr="008D67ED">
        <w:rPr>
          <w:sz w:val="20"/>
          <w:szCs w:val="20"/>
          <w:lang w:eastAsia="uk-UA"/>
        </w:rPr>
        <w:t>:</w:t>
      </w:r>
      <w:r w:rsidRPr="008D67ED">
        <w:rPr>
          <w:rFonts w:ascii="Calibri" w:hAnsi="Calibri" w:cs="Calibri"/>
          <w:sz w:val="20"/>
          <w:szCs w:val="20"/>
          <w:lang w:eastAsia="uk-UA"/>
        </w:rPr>
        <w:t xml:space="preserve"> </w:t>
      </w:r>
      <w:r w:rsidRPr="008D67ED">
        <w:rPr>
          <w:sz w:val="20"/>
          <w:szCs w:val="20"/>
          <w:lang w:val="en-US" w:eastAsia="uk-UA"/>
        </w:rPr>
        <w:t>https</w:t>
      </w:r>
      <w:r w:rsidRPr="008D67ED">
        <w:rPr>
          <w:sz w:val="20"/>
          <w:szCs w:val="20"/>
          <w:lang w:eastAsia="uk-UA"/>
        </w:rPr>
        <w:t>://</w:t>
      </w:r>
      <w:r w:rsidRPr="008D67ED">
        <w:rPr>
          <w:sz w:val="20"/>
          <w:szCs w:val="20"/>
          <w:lang w:val="en-US" w:eastAsia="uk-UA"/>
        </w:rPr>
        <w:t>surl</w:t>
      </w:r>
      <w:r w:rsidRPr="008D67ED">
        <w:rPr>
          <w:sz w:val="20"/>
          <w:szCs w:val="20"/>
          <w:lang w:eastAsia="uk-UA"/>
        </w:rPr>
        <w:t>.</w:t>
      </w:r>
      <w:r w:rsidRPr="008D67ED">
        <w:rPr>
          <w:sz w:val="20"/>
          <w:szCs w:val="20"/>
          <w:lang w:val="en-US" w:eastAsia="uk-UA"/>
        </w:rPr>
        <w:t>li</w:t>
      </w:r>
      <w:r w:rsidRPr="008D67ED">
        <w:rPr>
          <w:sz w:val="20"/>
          <w:szCs w:val="20"/>
          <w:lang w:eastAsia="uk-UA"/>
        </w:rPr>
        <w:t>/</w:t>
      </w:r>
      <w:r w:rsidRPr="008D67ED">
        <w:rPr>
          <w:sz w:val="20"/>
          <w:szCs w:val="20"/>
          <w:lang w:val="en-US" w:eastAsia="uk-UA"/>
        </w:rPr>
        <w:t>oodoqf</w:t>
      </w:r>
      <w:r w:rsidRPr="008D67ED">
        <w:rPr>
          <w:sz w:val="20"/>
          <w:szCs w:val="20"/>
          <w:lang w:eastAsia="uk-UA"/>
        </w:rPr>
        <w:t xml:space="preserve"> (12.05.2026) [</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r w:rsidRPr="008D67ED">
        <w:rPr>
          <w:sz w:val="20"/>
          <w:szCs w:val="20"/>
          <w:lang w:val="en-US" w:eastAsia="uk-UA"/>
        </w:rPr>
        <w:t>.</w:t>
      </w:r>
    </w:p>
    <w:p w:rsidR="008D67ED" w:rsidRPr="008D67ED" w:rsidRDefault="008D67ED" w:rsidP="008D67ED">
      <w:pPr>
        <w:numPr>
          <w:ilvl w:val="0"/>
          <w:numId w:val="20"/>
        </w:numPr>
        <w:spacing w:after="0" w:line="240" w:lineRule="auto"/>
        <w:ind w:left="0" w:firstLine="0"/>
        <w:contextualSpacing/>
        <w:jc w:val="both"/>
        <w:rPr>
          <w:sz w:val="20"/>
          <w:szCs w:val="20"/>
          <w:lang w:eastAsia="uk-UA"/>
        </w:rPr>
      </w:pPr>
      <w:r w:rsidRPr="008D67ED">
        <w:rPr>
          <w:sz w:val="20"/>
          <w:szCs w:val="20"/>
          <w:lang w:eastAsia="uk-UA"/>
        </w:rPr>
        <w:t>Mandry nepomitnym Frankivskom: «Park Yordana» (2022) [</w:t>
      </w:r>
      <w:r w:rsidRPr="008D67ED">
        <w:rPr>
          <w:sz w:val="20"/>
          <w:szCs w:val="20"/>
          <w:lang w:val="en-US" w:eastAsia="uk-UA"/>
        </w:rPr>
        <w:t>Journeys</w:t>
      </w:r>
      <w:r w:rsidRPr="008D67ED">
        <w:rPr>
          <w:sz w:val="20"/>
          <w:szCs w:val="20"/>
          <w:lang w:eastAsia="uk-UA"/>
        </w:rPr>
        <w:t xml:space="preserve"> </w:t>
      </w:r>
      <w:r w:rsidRPr="008D67ED">
        <w:rPr>
          <w:sz w:val="20"/>
          <w:szCs w:val="20"/>
          <w:lang w:val="en-US" w:eastAsia="uk-UA"/>
        </w:rPr>
        <w:t>through</w:t>
      </w:r>
      <w:r w:rsidRPr="008D67ED">
        <w:rPr>
          <w:sz w:val="20"/>
          <w:szCs w:val="20"/>
          <w:lang w:eastAsia="uk-UA"/>
        </w:rPr>
        <w:t xml:space="preserve"> </w:t>
      </w:r>
      <w:r w:rsidRPr="008D67ED">
        <w:rPr>
          <w:sz w:val="20"/>
          <w:szCs w:val="20"/>
          <w:lang w:val="en-US" w:eastAsia="uk-UA"/>
        </w:rPr>
        <w:t>the</w:t>
      </w:r>
      <w:r w:rsidRPr="008D67ED">
        <w:rPr>
          <w:sz w:val="20"/>
          <w:szCs w:val="20"/>
          <w:lang w:eastAsia="uk-UA"/>
        </w:rPr>
        <w:t xml:space="preserve"> </w:t>
      </w:r>
      <w:r w:rsidRPr="008D67ED">
        <w:rPr>
          <w:sz w:val="20"/>
          <w:szCs w:val="20"/>
          <w:lang w:val="en-US" w:eastAsia="uk-UA"/>
        </w:rPr>
        <w:t>inconspicuous</w:t>
      </w:r>
      <w:r w:rsidRPr="008D67ED">
        <w:rPr>
          <w:sz w:val="20"/>
          <w:szCs w:val="20"/>
          <w:lang w:eastAsia="uk-UA"/>
        </w:rPr>
        <w:t xml:space="preserve"> </w:t>
      </w:r>
      <w:r w:rsidRPr="008D67ED">
        <w:rPr>
          <w:sz w:val="20"/>
          <w:szCs w:val="20"/>
          <w:lang w:val="en-US" w:eastAsia="uk-UA"/>
        </w:rPr>
        <w:t>Frankivsk</w:t>
      </w:r>
      <w:r w:rsidRPr="008D67ED">
        <w:rPr>
          <w:sz w:val="20"/>
          <w:szCs w:val="20"/>
          <w:lang w:eastAsia="uk-UA"/>
        </w:rPr>
        <w:t>: «</w:t>
      </w:r>
      <w:r w:rsidRPr="008D67ED">
        <w:rPr>
          <w:sz w:val="20"/>
          <w:szCs w:val="20"/>
          <w:lang w:val="en-US" w:eastAsia="uk-UA"/>
        </w:rPr>
        <w:t>Yordan</w:t>
      </w:r>
      <w:r w:rsidRPr="008D67ED">
        <w:rPr>
          <w:sz w:val="20"/>
          <w:szCs w:val="20"/>
          <w:lang w:eastAsia="uk-UA"/>
        </w:rPr>
        <w:t xml:space="preserve"> </w:t>
      </w:r>
      <w:r w:rsidRPr="008D67ED">
        <w:rPr>
          <w:sz w:val="20"/>
          <w:szCs w:val="20"/>
          <w:lang w:val="en-US" w:eastAsia="uk-UA"/>
        </w:rPr>
        <w:t>Park</w:t>
      </w:r>
      <w:r w:rsidRPr="008D67ED">
        <w:rPr>
          <w:sz w:val="20"/>
          <w:szCs w:val="20"/>
          <w:lang w:eastAsia="uk-UA"/>
        </w:rPr>
        <w:t>»]. Prykarpatska informatsiina korporatsiia (PIK): vebsait. https://surl.li/eigzvs (14.05.2026) [</w:t>
      </w:r>
      <w:r w:rsidRPr="008D67ED">
        <w:rPr>
          <w:sz w:val="20"/>
          <w:szCs w:val="20"/>
          <w:lang w:val="en-US" w:eastAsia="uk-UA"/>
        </w:rPr>
        <w:t>in</w:t>
      </w:r>
      <w:r w:rsidRPr="008D67ED">
        <w:rPr>
          <w:sz w:val="20"/>
          <w:szCs w:val="20"/>
          <w:lang w:eastAsia="uk-UA"/>
        </w:rPr>
        <w:t xml:space="preserve"> </w:t>
      </w:r>
      <w:r w:rsidRPr="008D67ED">
        <w:rPr>
          <w:sz w:val="20"/>
          <w:szCs w:val="20"/>
          <w:lang w:val="en-US" w:eastAsia="uk-UA"/>
        </w:rPr>
        <w:t>Ukrainian</w:t>
      </w:r>
      <w:r w:rsidRPr="008D67ED">
        <w:rPr>
          <w:sz w:val="20"/>
          <w:szCs w:val="20"/>
          <w:lang w:eastAsia="uk-UA"/>
        </w:rPr>
        <w:t>]</w:t>
      </w:r>
      <w:r w:rsidRPr="008D67ED">
        <w:rPr>
          <w:sz w:val="20"/>
          <w:szCs w:val="20"/>
          <w:lang w:val="en-US" w:eastAsia="uk-UA"/>
        </w:rPr>
        <w:t>.</w:t>
      </w:r>
    </w:p>
    <w:p w:rsidR="008D67ED" w:rsidRPr="008D67ED" w:rsidRDefault="008D67ED" w:rsidP="008D67ED">
      <w:pPr>
        <w:autoSpaceDE w:val="0"/>
        <w:autoSpaceDN w:val="0"/>
        <w:adjustRightInd w:val="0"/>
        <w:spacing w:after="0" w:line="240" w:lineRule="auto"/>
        <w:ind w:left="1495"/>
        <w:jc w:val="both"/>
        <w:rPr>
          <w:rFonts w:eastAsia="Calibri"/>
          <w:sz w:val="20"/>
          <w:szCs w:val="20"/>
        </w:rPr>
      </w:pPr>
    </w:p>
    <w:tbl>
      <w:tblPr>
        <w:tblStyle w:val="8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8D67ED" w:rsidRPr="008D67ED" w:rsidTr="008D67ED">
        <w:tc>
          <w:tcPr>
            <w:tcW w:w="9286" w:type="dxa"/>
            <w:shd w:val="clear" w:color="auto" w:fill="BFBFBF"/>
          </w:tcPr>
          <w:p w:rsidR="008D67ED" w:rsidRPr="008D67ED" w:rsidRDefault="008D67ED" w:rsidP="008D67ED">
            <w:pPr>
              <w:spacing w:before="100" w:after="100" w:line="240" w:lineRule="auto"/>
              <w:jc w:val="both"/>
              <w:rPr>
                <w:b/>
                <w:sz w:val="20"/>
                <w:szCs w:val="20"/>
                <w:lang w:eastAsia="uk-UA"/>
              </w:rPr>
            </w:pPr>
            <w:r w:rsidRPr="008D67ED">
              <w:rPr>
                <w:b/>
                <w:sz w:val="20"/>
                <w:szCs w:val="24"/>
                <w:lang w:eastAsia="uk-UA"/>
              </w:rPr>
              <w:t>Цитування на</w:t>
            </w:r>
            <w:r w:rsidRPr="008D67ED">
              <w:rPr>
                <w:b/>
                <w:spacing w:val="2"/>
                <w:sz w:val="20"/>
                <w:szCs w:val="24"/>
                <w:lang w:eastAsia="uk-UA"/>
              </w:rPr>
              <w:t xml:space="preserve"> </w:t>
            </w:r>
            <w:r w:rsidRPr="008D67ED">
              <w:rPr>
                <w:b/>
                <w:sz w:val="20"/>
                <w:szCs w:val="24"/>
                <w:lang w:eastAsia="uk-UA"/>
              </w:rPr>
              <w:t>цю статтю:</w:t>
            </w:r>
          </w:p>
        </w:tc>
      </w:tr>
      <w:tr w:rsidR="008D67ED" w:rsidRPr="008D67ED" w:rsidTr="00C07F42">
        <w:tc>
          <w:tcPr>
            <w:tcW w:w="9286" w:type="dxa"/>
          </w:tcPr>
          <w:p w:rsidR="008D67ED" w:rsidRPr="008D67ED" w:rsidRDefault="008D67ED" w:rsidP="00802413">
            <w:pPr>
              <w:spacing w:after="0" w:line="240" w:lineRule="auto"/>
              <w:jc w:val="both"/>
              <w:rPr>
                <w:i/>
                <w:sz w:val="20"/>
                <w:szCs w:val="20"/>
                <w:lang w:eastAsia="uk-UA"/>
              </w:rPr>
            </w:pPr>
            <w:r w:rsidRPr="008D67ED">
              <w:rPr>
                <w:bCs/>
                <w:iCs/>
                <w:sz w:val="20"/>
                <w:szCs w:val="20"/>
                <w:lang w:eastAsia="uk-UA"/>
              </w:rPr>
              <w:t>Сливка ЛВ</w:t>
            </w:r>
            <w:r w:rsidRPr="008D67ED">
              <w:rPr>
                <w:rFonts w:cs="Mangal"/>
                <w:kern w:val="1"/>
                <w:sz w:val="20"/>
                <w:szCs w:val="20"/>
                <w:lang w:eastAsia="uk-UA" w:bidi="hi-IN"/>
              </w:rPr>
              <w:t xml:space="preserve">. </w:t>
            </w:r>
            <w:r w:rsidRPr="008D67ED">
              <w:rPr>
                <w:bCs/>
                <w:sz w:val="20"/>
                <w:szCs w:val="20"/>
                <w:lang w:eastAsia="uk-UA"/>
              </w:rPr>
              <w:t>Парк імені Генрика Йордана у Кракові як осередок позашкільного фізичного виховання дітей та юнацтва наприкінці ХІХ ‒ на початку ХХ ст.</w:t>
            </w:r>
            <w:r w:rsidRPr="008D67ED">
              <w:rPr>
                <w:rFonts w:cs="Mangal"/>
                <w:kern w:val="1"/>
                <w:sz w:val="20"/>
                <w:szCs w:val="20"/>
                <w:lang w:eastAsia="uk-UA" w:bidi="hi-IN"/>
              </w:rPr>
              <w:t xml:space="preserve"> </w:t>
            </w:r>
            <w:r w:rsidRPr="008D67ED">
              <w:rPr>
                <w:sz w:val="20"/>
                <w:szCs w:val="20"/>
                <w:lang w:eastAsia="uk-UA"/>
              </w:rPr>
              <w:t>Вісник Прикарпатського університету</w:t>
            </w:r>
            <w:r w:rsidRPr="008D67ED">
              <w:rPr>
                <w:rFonts w:cs="Mangal"/>
                <w:kern w:val="1"/>
                <w:sz w:val="20"/>
                <w:szCs w:val="20"/>
                <w:lang w:eastAsia="uk-UA" w:bidi="hi-IN"/>
              </w:rPr>
              <w:t xml:space="preserve"> </w:t>
            </w:r>
            <w:r w:rsidRPr="008D67ED">
              <w:rPr>
                <w:kern w:val="1"/>
                <w:sz w:val="20"/>
                <w:szCs w:val="20"/>
                <w:lang w:eastAsia="uk-UA" w:bidi="hi-IN"/>
              </w:rPr>
              <w:t>Серія:</w:t>
            </w:r>
            <w:r w:rsidRPr="008D67ED">
              <w:rPr>
                <w:rFonts w:cs="Mangal"/>
                <w:kern w:val="1"/>
                <w:sz w:val="20"/>
                <w:szCs w:val="20"/>
                <w:lang w:eastAsia="uk-UA" w:bidi="hi-IN"/>
              </w:rPr>
              <w:t xml:space="preserve"> </w:t>
            </w:r>
            <w:r w:rsidRPr="008D67ED">
              <w:rPr>
                <w:kern w:val="1"/>
                <w:sz w:val="20"/>
                <w:szCs w:val="20"/>
                <w:lang w:eastAsia="uk-UA" w:bidi="hi-IN"/>
              </w:rPr>
              <w:t>Фізична</w:t>
            </w:r>
            <w:r w:rsidRPr="008D67ED">
              <w:rPr>
                <w:rFonts w:cs="Mangal"/>
                <w:kern w:val="1"/>
                <w:sz w:val="20"/>
                <w:szCs w:val="20"/>
                <w:lang w:eastAsia="uk-UA" w:bidi="hi-IN"/>
              </w:rPr>
              <w:t xml:space="preserve"> </w:t>
            </w:r>
            <w:r w:rsidRPr="008D67ED">
              <w:rPr>
                <w:spacing w:val="-1"/>
                <w:kern w:val="1"/>
                <w:sz w:val="20"/>
                <w:szCs w:val="20"/>
                <w:lang w:eastAsia="uk-UA" w:bidi="hi-IN"/>
              </w:rPr>
              <w:t>культура.</w:t>
            </w:r>
            <w:r w:rsidRPr="008D67ED">
              <w:rPr>
                <w:rFonts w:cs="Mangal"/>
                <w:spacing w:val="5"/>
                <w:kern w:val="1"/>
                <w:sz w:val="20"/>
                <w:szCs w:val="20"/>
                <w:lang w:eastAsia="uk-UA" w:bidi="hi-IN"/>
              </w:rPr>
              <w:t xml:space="preserve"> </w:t>
            </w:r>
            <w:r w:rsidRPr="008D67ED">
              <w:rPr>
                <w:rFonts w:cs="Mangal"/>
                <w:spacing w:val="1"/>
                <w:kern w:val="1"/>
                <w:sz w:val="20"/>
                <w:szCs w:val="20"/>
                <w:lang w:eastAsia="uk-UA" w:bidi="hi-IN"/>
              </w:rPr>
              <w:t>2026</w:t>
            </w:r>
            <w:r w:rsidRPr="008D67ED">
              <w:rPr>
                <w:rFonts w:cs="Mangal"/>
                <w:kern w:val="1"/>
                <w:sz w:val="20"/>
                <w:szCs w:val="20"/>
                <w:lang w:eastAsia="uk-UA" w:bidi="hi-IN"/>
              </w:rPr>
              <w:t xml:space="preserve"> </w:t>
            </w:r>
            <w:r w:rsidRPr="008D67ED">
              <w:rPr>
                <w:spacing w:val="-1"/>
                <w:kern w:val="1"/>
                <w:sz w:val="20"/>
                <w:szCs w:val="20"/>
                <w:lang w:eastAsia="uk-UA" w:bidi="hi-IN"/>
              </w:rPr>
              <w:t>Травень 05</w:t>
            </w:r>
            <w:r w:rsidRPr="008D67ED">
              <w:rPr>
                <w:rFonts w:cs="Mangal"/>
                <w:spacing w:val="1"/>
                <w:kern w:val="1"/>
                <w:sz w:val="20"/>
                <w:szCs w:val="20"/>
                <w:lang w:eastAsia="uk-UA" w:bidi="hi-IN"/>
              </w:rPr>
              <w:t>;</w:t>
            </w:r>
            <w:r w:rsidRPr="008D67ED">
              <w:rPr>
                <w:rFonts w:cs="Mangal"/>
                <w:spacing w:val="-1"/>
                <w:kern w:val="1"/>
                <w:sz w:val="20"/>
                <w:szCs w:val="20"/>
                <w:lang w:eastAsia="uk-UA" w:bidi="hi-IN"/>
              </w:rPr>
              <w:t xml:space="preserve"> </w:t>
            </w:r>
            <w:r w:rsidRPr="008D67ED">
              <w:rPr>
                <w:rFonts w:cs="Mangal"/>
                <w:spacing w:val="1"/>
                <w:kern w:val="1"/>
                <w:sz w:val="20"/>
                <w:szCs w:val="20"/>
                <w:lang w:eastAsia="uk-UA" w:bidi="hi-IN"/>
              </w:rPr>
              <w:t>46:</w:t>
            </w:r>
            <w:r w:rsidRPr="008D67ED">
              <w:rPr>
                <w:sz w:val="20"/>
                <w:szCs w:val="20"/>
                <w:lang w:eastAsia="uk-UA"/>
              </w:rPr>
              <w:t xml:space="preserve"> 61-68</w:t>
            </w:r>
          </w:p>
        </w:tc>
      </w:tr>
    </w:tbl>
    <w:p w:rsidR="008D67ED" w:rsidRPr="008D67ED" w:rsidRDefault="008D67ED" w:rsidP="008D67ED">
      <w:pPr>
        <w:autoSpaceDE w:val="0"/>
        <w:autoSpaceDN w:val="0"/>
        <w:adjustRightInd w:val="0"/>
        <w:spacing w:after="0" w:line="240" w:lineRule="auto"/>
        <w:ind w:left="360"/>
        <w:jc w:val="both"/>
        <w:rPr>
          <w:rFonts w:eastAsia="Calibri"/>
          <w:sz w:val="20"/>
          <w:szCs w:val="20"/>
        </w:rPr>
      </w:pPr>
    </w:p>
    <w:tbl>
      <w:tblPr>
        <w:tblStyle w:val="8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070"/>
      </w:tblGrid>
      <w:tr w:rsidR="008D67ED" w:rsidRPr="008D67ED" w:rsidTr="008D67ED">
        <w:tc>
          <w:tcPr>
            <w:tcW w:w="9070" w:type="dxa"/>
            <w:shd w:val="clear" w:color="auto" w:fill="BFBFBF"/>
          </w:tcPr>
          <w:p w:rsidR="008D67ED" w:rsidRPr="008D67ED" w:rsidRDefault="008D67ED" w:rsidP="008D67ED">
            <w:pPr>
              <w:spacing w:before="100" w:after="100" w:line="240" w:lineRule="auto"/>
              <w:ind w:left="360"/>
              <w:jc w:val="both"/>
              <w:rPr>
                <w:b/>
                <w:sz w:val="20"/>
                <w:szCs w:val="20"/>
                <w:lang w:eastAsia="uk-UA"/>
              </w:rPr>
            </w:pPr>
            <w:r w:rsidRPr="008D67ED">
              <w:rPr>
                <w:b/>
                <w:sz w:val="20"/>
                <w:szCs w:val="20"/>
                <w:lang w:eastAsia="uk-UA"/>
              </w:rPr>
              <w:t>Відомості про авторів</w:t>
            </w:r>
          </w:p>
        </w:tc>
      </w:tr>
      <w:tr w:rsidR="008D67ED" w:rsidRPr="008D67ED" w:rsidTr="0004467E">
        <w:trPr>
          <w:trHeight w:val="924"/>
        </w:trPr>
        <w:tc>
          <w:tcPr>
            <w:tcW w:w="9070" w:type="dxa"/>
          </w:tcPr>
          <w:p w:rsidR="008D67ED" w:rsidRPr="008D67ED" w:rsidRDefault="008D67ED" w:rsidP="00802413">
            <w:pPr>
              <w:spacing w:after="0" w:line="240" w:lineRule="exact"/>
              <w:jc w:val="both"/>
              <w:rPr>
                <w:rFonts w:eastAsia="Calibri"/>
                <w:sz w:val="20"/>
                <w:szCs w:val="20"/>
                <w:lang w:val="ru-RU"/>
              </w:rPr>
            </w:pPr>
            <w:r w:rsidRPr="008D67ED">
              <w:rPr>
                <w:rFonts w:eastAsia="Calibri"/>
                <w:b/>
                <w:i/>
                <w:iCs/>
                <w:sz w:val="20"/>
                <w:szCs w:val="20"/>
              </w:rPr>
              <w:t>Сливка Лариса Володимирівна</w:t>
            </w:r>
            <w:r w:rsidRPr="008D67ED">
              <w:rPr>
                <w:rFonts w:eastAsia="Calibri"/>
                <w:i/>
                <w:iCs/>
                <w:sz w:val="20"/>
                <w:szCs w:val="20"/>
              </w:rPr>
              <w:t xml:space="preserve">, </w:t>
            </w:r>
            <w:r w:rsidRPr="008D67ED">
              <w:rPr>
                <w:rFonts w:eastAsia="Calibri"/>
                <w:iCs/>
                <w:sz w:val="20"/>
                <w:szCs w:val="20"/>
              </w:rPr>
              <w:t xml:space="preserve">доктор педагогічних наук, професор, </w:t>
            </w:r>
            <w:r w:rsidRPr="008D67ED">
              <w:rPr>
                <w:rFonts w:eastAsia="Calibri"/>
                <w:sz w:val="20"/>
                <w:szCs w:val="20"/>
              </w:rPr>
              <w:t>Карпатський національний університет імені Василя Стефаника</w:t>
            </w:r>
          </w:p>
          <w:p w:rsidR="008D67ED" w:rsidRPr="008D67ED" w:rsidRDefault="008D67ED" w:rsidP="00802413">
            <w:pPr>
              <w:shd w:val="clear" w:color="auto" w:fill="FFFFFF"/>
              <w:spacing w:after="0" w:line="240" w:lineRule="exact"/>
              <w:jc w:val="both"/>
              <w:rPr>
                <w:color w:val="000000"/>
                <w:sz w:val="20"/>
                <w:szCs w:val="20"/>
                <w:lang w:eastAsia="uk-UA"/>
              </w:rPr>
            </w:pPr>
            <w:r w:rsidRPr="008D67ED">
              <w:rPr>
                <w:color w:val="000000"/>
                <w:sz w:val="20"/>
                <w:szCs w:val="20"/>
                <w:lang w:eastAsia="uk-UA"/>
              </w:rPr>
              <w:t>https://orcid.org/0000-0003-1865-6326</w:t>
            </w:r>
          </w:p>
          <w:p w:rsidR="008D67ED" w:rsidRPr="008D67ED" w:rsidRDefault="008D67ED" w:rsidP="00802413">
            <w:pPr>
              <w:shd w:val="clear" w:color="auto" w:fill="FFFFFF"/>
              <w:spacing w:after="0" w:line="240" w:lineRule="exact"/>
              <w:jc w:val="both"/>
              <w:rPr>
                <w:sz w:val="20"/>
                <w:szCs w:val="20"/>
                <w:shd w:val="clear" w:color="auto" w:fill="FFFFFF"/>
                <w:lang w:eastAsia="uk-UA"/>
              </w:rPr>
            </w:pPr>
            <w:r w:rsidRPr="008D67ED">
              <w:rPr>
                <w:sz w:val="20"/>
                <w:szCs w:val="20"/>
                <w:lang w:eastAsia="uk-UA"/>
              </w:rPr>
              <w:t xml:space="preserve">e-mail: </w:t>
            </w:r>
            <w:r w:rsidRPr="008D67ED">
              <w:rPr>
                <w:sz w:val="20"/>
                <w:szCs w:val="20"/>
                <w:shd w:val="clear" w:color="auto" w:fill="FFFFFF"/>
                <w:lang w:val="en-US" w:eastAsia="uk-UA"/>
              </w:rPr>
              <w:t>larysa</w:t>
            </w:r>
            <w:r w:rsidRPr="008D67ED">
              <w:rPr>
                <w:sz w:val="20"/>
                <w:szCs w:val="20"/>
                <w:shd w:val="clear" w:color="auto" w:fill="FFFFFF"/>
                <w:lang w:eastAsia="uk-UA"/>
              </w:rPr>
              <w:t>.</w:t>
            </w:r>
            <w:r w:rsidRPr="008D67ED">
              <w:rPr>
                <w:sz w:val="20"/>
                <w:szCs w:val="20"/>
                <w:shd w:val="clear" w:color="auto" w:fill="FFFFFF"/>
                <w:lang w:val="en-US" w:eastAsia="uk-UA"/>
              </w:rPr>
              <w:t>slyvka</w:t>
            </w:r>
            <w:r w:rsidRPr="008D67ED">
              <w:rPr>
                <w:sz w:val="20"/>
                <w:szCs w:val="20"/>
                <w:shd w:val="clear" w:color="auto" w:fill="FFFFFF"/>
                <w:lang w:eastAsia="uk-UA"/>
              </w:rPr>
              <w:t>@</w:t>
            </w:r>
            <w:r w:rsidRPr="008D67ED">
              <w:rPr>
                <w:sz w:val="20"/>
                <w:szCs w:val="20"/>
                <w:shd w:val="clear" w:color="auto" w:fill="FFFFFF"/>
                <w:lang w:val="en-US" w:eastAsia="uk-UA"/>
              </w:rPr>
              <w:t>cnu</w:t>
            </w:r>
            <w:r w:rsidRPr="008D67ED">
              <w:rPr>
                <w:sz w:val="20"/>
                <w:szCs w:val="20"/>
                <w:shd w:val="clear" w:color="auto" w:fill="FFFFFF"/>
                <w:lang w:eastAsia="uk-UA"/>
              </w:rPr>
              <w:t>.</w:t>
            </w:r>
            <w:r w:rsidRPr="008D67ED">
              <w:rPr>
                <w:sz w:val="20"/>
                <w:szCs w:val="20"/>
                <w:shd w:val="clear" w:color="auto" w:fill="FFFFFF"/>
                <w:lang w:val="en-US" w:eastAsia="uk-UA"/>
              </w:rPr>
              <w:t>edu</w:t>
            </w:r>
            <w:r w:rsidRPr="008D67ED">
              <w:rPr>
                <w:sz w:val="20"/>
                <w:szCs w:val="20"/>
                <w:shd w:val="clear" w:color="auto" w:fill="FFFFFF"/>
                <w:lang w:eastAsia="uk-UA"/>
              </w:rPr>
              <w:t>.</w:t>
            </w:r>
            <w:r w:rsidRPr="008D67ED">
              <w:rPr>
                <w:sz w:val="20"/>
                <w:szCs w:val="20"/>
                <w:shd w:val="clear" w:color="auto" w:fill="FFFFFF"/>
                <w:lang w:val="en-US" w:eastAsia="uk-UA"/>
              </w:rPr>
              <w:t>ua</w:t>
            </w:r>
          </w:p>
        </w:tc>
      </w:tr>
    </w:tbl>
    <w:p w:rsidR="008D67ED" w:rsidRPr="008D67ED" w:rsidRDefault="008D67ED" w:rsidP="008D67ED">
      <w:pPr>
        <w:spacing w:after="0" w:line="240" w:lineRule="auto"/>
        <w:ind w:left="360"/>
        <w:jc w:val="both"/>
        <w:rPr>
          <w:rFonts w:eastAsia="Calibri"/>
          <w:sz w:val="20"/>
          <w:szCs w:val="20"/>
        </w:rPr>
      </w:pPr>
    </w:p>
    <w:p w:rsidR="008D67ED" w:rsidRPr="008D67ED" w:rsidRDefault="008D67ED" w:rsidP="008D67ED">
      <w:pPr>
        <w:spacing w:after="0" w:line="240" w:lineRule="auto"/>
        <w:ind w:left="3544"/>
        <w:jc w:val="both"/>
        <w:rPr>
          <w:rFonts w:eastAsia="Calibri"/>
          <w:sz w:val="20"/>
          <w:szCs w:val="20"/>
        </w:rPr>
      </w:pPr>
      <w:r w:rsidRPr="008D67ED">
        <w:rPr>
          <w:rFonts w:eastAsia="Calibri"/>
          <w:sz w:val="20"/>
          <w:szCs w:val="20"/>
        </w:rPr>
        <w:t>Дата першого надходження статті до видання: 19.05.2026</w:t>
      </w:r>
    </w:p>
    <w:p w:rsidR="008D67ED" w:rsidRPr="008D67ED" w:rsidRDefault="008D67ED" w:rsidP="008D67ED">
      <w:pPr>
        <w:spacing w:after="0" w:line="240" w:lineRule="auto"/>
        <w:ind w:left="3544"/>
        <w:jc w:val="both"/>
        <w:rPr>
          <w:rFonts w:eastAsia="Calibri"/>
          <w:sz w:val="20"/>
          <w:szCs w:val="20"/>
        </w:rPr>
      </w:pPr>
      <w:r w:rsidRPr="008D67ED">
        <w:rPr>
          <w:rFonts w:eastAsia="Calibri"/>
          <w:sz w:val="20"/>
          <w:szCs w:val="20"/>
        </w:rPr>
        <w:t>Дата прийняття статті до друку після рецензування: 28.05.2026</w:t>
      </w:r>
    </w:p>
    <w:p w:rsidR="008D67ED" w:rsidRPr="008D67ED" w:rsidRDefault="008D67ED" w:rsidP="008D67ED">
      <w:pPr>
        <w:spacing w:after="0" w:line="240" w:lineRule="auto"/>
        <w:ind w:left="3544"/>
        <w:jc w:val="both"/>
        <w:rPr>
          <w:rFonts w:eastAsia="Calibri"/>
          <w:sz w:val="20"/>
          <w:szCs w:val="20"/>
        </w:rPr>
      </w:pPr>
      <w:r w:rsidRPr="008D67ED">
        <w:rPr>
          <w:rFonts w:eastAsia="Calibri"/>
          <w:sz w:val="20"/>
          <w:szCs w:val="20"/>
        </w:rPr>
        <w:t>Дата публікації (оприлюднення) статті: 30.05.2026</w:t>
      </w:r>
    </w:p>
    <w:p w:rsidR="005875A4" w:rsidRPr="00CA2F07" w:rsidRDefault="005875A4" w:rsidP="00CA2F07">
      <w:pPr>
        <w:spacing w:after="0" w:line="240" w:lineRule="auto"/>
        <w:ind w:left="3544"/>
        <w:jc w:val="both"/>
        <w:rPr>
          <w:rFonts w:eastAsia="Calibri"/>
          <w:sz w:val="20"/>
          <w:szCs w:val="20"/>
        </w:rPr>
      </w:pPr>
    </w:p>
    <w:p w:rsidR="00B60EB5" w:rsidRDefault="00B60EB5">
      <w:pPr>
        <w:spacing w:after="160" w:line="259" w:lineRule="auto"/>
        <w:rPr>
          <w:spacing w:val="-4"/>
          <w:sz w:val="18"/>
        </w:rPr>
      </w:pPr>
      <w:r>
        <w:rPr>
          <w:spacing w:val="-4"/>
          <w:sz w:val="18"/>
        </w:rPr>
        <w:br w:type="page"/>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B60EB5" w:rsidRPr="006F13CB" w:rsidTr="00C07F42">
        <w:tc>
          <w:tcPr>
            <w:tcW w:w="3785" w:type="dxa"/>
          </w:tcPr>
          <w:p w:rsidR="00B60EB5" w:rsidRPr="006F13CB" w:rsidRDefault="00B60EB5" w:rsidP="00B60EB5">
            <w:pPr>
              <w:spacing w:after="0"/>
              <w:rPr>
                <w:b/>
                <w:sz w:val="20"/>
                <w:szCs w:val="20"/>
              </w:rPr>
            </w:pPr>
            <w:r w:rsidRPr="006F13CB">
              <w:rPr>
                <w:b/>
                <w:sz w:val="20"/>
                <w:szCs w:val="20"/>
              </w:rPr>
              <w:lastRenderedPageBreak/>
              <w:t xml:space="preserve">УДК </w:t>
            </w:r>
            <w:r w:rsidRPr="00C0690E">
              <w:rPr>
                <w:b/>
                <w:sz w:val="20"/>
                <w:szCs w:val="20"/>
              </w:rPr>
              <w:t>159.947.5:796.01</w:t>
            </w:r>
          </w:p>
          <w:p w:rsidR="00B60EB5" w:rsidRPr="006F13CB" w:rsidRDefault="00B60EB5" w:rsidP="00B60EB5">
            <w:pPr>
              <w:spacing w:after="0"/>
              <w:rPr>
                <w:b/>
                <w:sz w:val="20"/>
                <w:szCs w:val="20"/>
              </w:rPr>
            </w:pPr>
            <w:r w:rsidRPr="006F13CB">
              <w:rPr>
                <w:b/>
                <w:sz w:val="20"/>
                <w:szCs w:val="20"/>
              </w:rPr>
              <w:t xml:space="preserve">doi: </w:t>
            </w:r>
            <w:r w:rsidRPr="006F13CB">
              <w:rPr>
                <w:rFonts w:eastAsia="SimSun"/>
                <w:b/>
                <w:kern w:val="1"/>
                <w:sz w:val="20"/>
                <w:szCs w:val="20"/>
                <w:lang w:eastAsia="zh-CN" w:bidi="hi-IN"/>
              </w:rPr>
              <w:t>10.15330/fcult.</w:t>
            </w:r>
            <w:r>
              <w:rPr>
                <w:rFonts w:eastAsia="SimSun"/>
                <w:b/>
                <w:kern w:val="1"/>
                <w:sz w:val="20"/>
                <w:szCs w:val="20"/>
                <w:lang w:eastAsia="zh-CN" w:bidi="hi-IN"/>
              </w:rPr>
              <w:t>69</w:t>
            </w:r>
            <w:r w:rsidRPr="006F13CB">
              <w:rPr>
                <w:rFonts w:eastAsia="SimSun"/>
                <w:b/>
                <w:kern w:val="1"/>
                <w:sz w:val="20"/>
                <w:szCs w:val="20"/>
                <w:lang w:eastAsia="zh-CN" w:bidi="hi-IN"/>
              </w:rPr>
              <w:t>-</w:t>
            </w:r>
            <w:r>
              <w:rPr>
                <w:rFonts w:eastAsia="SimSun"/>
                <w:b/>
                <w:kern w:val="1"/>
                <w:sz w:val="20"/>
                <w:szCs w:val="20"/>
                <w:lang w:eastAsia="zh-CN" w:bidi="hi-IN"/>
              </w:rPr>
              <w:t>83</w:t>
            </w:r>
          </w:p>
        </w:tc>
        <w:tc>
          <w:tcPr>
            <w:tcW w:w="5501" w:type="dxa"/>
          </w:tcPr>
          <w:p w:rsidR="00B60EB5" w:rsidRPr="00C0076E" w:rsidRDefault="00B60EB5" w:rsidP="00B60EB5">
            <w:pPr>
              <w:spacing w:after="0"/>
              <w:jc w:val="right"/>
              <w:rPr>
                <w:b/>
                <w:bCs/>
                <w:i/>
                <w:iCs/>
                <w:sz w:val="20"/>
                <w:szCs w:val="20"/>
              </w:rPr>
            </w:pPr>
            <w:r w:rsidRPr="00C0076E">
              <w:rPr>
                <w:b/>
                <w:bCs/>
                <w:i/>
                <w:iCs/>
                <w:sz w:val="20"/>
                <w:szCs w:val="20"/>
              </w:rPr>
              <w:t>Антон</w:t>
            </w:r>
            <w:r w:rsidRPr="00523D11">
              <w:rPr>
                <w:b/>
                <w:bCs/>
                <w:i/>
                <w:iCs/>
                <w:sz w:val="20"/>
                <w:szCs w:val="20"/>
              </w:rPr>
              <w:t xml:space="preserve"> Г</w:t>
            </w:r>
            <w:r w:rsidRPr="00C0076E">
              <w:rPr>
                <w:b/>
                <w:bCs/>
                <w:i/>
                <w:iCs/>
                <w:sz w:val="20"/>
                <w:szCs w:val="20"/>
              </w:rPr>
              <w:t>ак, Ігор</w:t>
            </w:r>
            <w:r w:rsidRPr="00523D11">
              <w:rPr>
                <w:b/>
                <w:bCs/>
                <w:i/>
                <w:iCs/>
                <w:sz w:val="20"/>
                <w:szCs w:val="20"/>
              </w:rPr>
              <w:t xml:space="preserve"> </w:t>
            </w:r>
            <w:r w:rsidRPr="00C0076E">
              <w:rPr>
                <w:b/>
                <w:bCs/>
                <w:i/>
                <w:iCs/>
                <w:sz w:val="20"/>
                <w:szCs w:val="20"/>
              </w:rPr>
              <w:t>Фольварочний, Ву Юньхуей, Л</w:t>
            </w:r>
            <w:r>
              <w:rPr>
                <w:b/>
                <w:bCs/>
                <w:i/>
                <w:iCs/>
                <w:sz w:val="20"/>
                <w:szCs w:val="20"/>
              </w:rPr>
              <w:t xml:space="preserve">і </w:t>
            </w:r>
            <w:r w:rsidRPr="00C0076E">
              <w:rPr>
                <w:b/>
                <w:bCs/>
                <w:i/>
                <w:iCs/>
                <w:sz w:val="20"/>
                <w:szCs w:val="20"/>
              </w:rPr>
              <w:t>Чен</w:t>
            </w:r>
          </w:p>
          <w:p w:rsidR="00B60EB5" w:rsidRPr="006F13CB" w:rsidRDefault="00B60EB5" w:rsidP="00B60EB5">
            <w:pPr>
              <w:spacing w:after="0"/>
              <w:jc w:val="right"/>
              <w:rPr>
                <w:b/>
                <w:i/>
                <w:sz w:val="20"/>
                <w:szCs w:val="20"/>
              </w:rPr>
            </w:pPr>
          </w:p>
        </w:tc>
      </w:tr>
    </w:tbl>
    <w:p w:rsidR="00B60EB5" w:rsidRDefault="00B60EB5" w:rsidP="00B60EB5">
      <w:pPr>
        <w:spacing w:after="0" w:line="240" w:lineRule="auto"/>
        <w:jc w:val="center"/>
        <w:rPr>
          <w:b/>
          <w:bCs/>
          <w:sz w:val="24"/>
          <w:szCs w:val="24"/>
        </w:rPr>
      </w:pPr>
    </w:p>
    <w:p w:rsidR="00B60EB5" w:rsidRPr="00C0076E" w:rsidRDefault="00B60EB5" w:rsidP="00B60EB5">
      <w:pPr>
        <w:spacing w:after="0" w:line="240" w:lineRule="auto"/>
        <w:jc w:val="center"/>
        <w:rPr>
          <w:b/>
          <w:bCs/>
          <w:sz w:val="24"/>
          <w:szCs w:val="24"/>
          <w:lang w:val="ru-RU"/>
        </w:rPr>
      </w:pPr>
      <w:r w:rsidRPr="00C0076E">
        <w:rPr>
          <w:b/>
          <w:bCs/>
          <w:sz w:val="24"/>
          <w:szCs w:val="24"/>
        </w:rPr>
        <w:t>ІНТЕГРАТИВНИЙ ПІДХІД ДО РОЗУМІННЯ ВНУТРІШНЬОЇ МОТИВАЦІЇ СПОРТСМЕНІВ</w:t>
      </w:r>
    </w:p>
    <w:p w:rsidR="00B60EB5" w:rsidRPr="00C0076E" w:rsidRDefault="00B60EB5" w:rsidP="00B60EB5">
      <w:pPr>
        <w:spacing w:after="0" w:line="240" w:lineRule="auto"/>
        <w:ind w:firstLine="709"/>
        <w:jc w:val="both"/>
        <w:rPr>
          <w:sz w:val="20"/>
          <w:szCs w:val="20"/>
        </w:rPr>
      </w:pPr>
      <w:r w:rsidRPr="00C0076E">
        <w:rPr>
          <w:b/>
          <w:bCs/>
          <w:sz w:val="20"/>
          <w:szCs w:val="20"/>
        </w:rPr>
        <w:t>Резюме. Мета дослідження</w:t>
      </w:r>
      <w:r w:rsidRPr="00C0076E">
        <w:rPr>
          <w:sz w:val="20"/>
          <w:szCs w:val="20"/>
        </w:rPr>
        <w:t xml:space="preserve"> – </w:t>
      </w:r>
      <w:r w:rsidRPr="00C0076E">
        <w:rPr>
          <w:sz w:val="20"/>
          <w:szCs w:val="20"/>
          <w:lang w:eastAsia="ru-RU"/>
        </w:rPr>
        <w:t>теоретично обґрунтувати інтегративний підхід до внутрішньої мотивації спортсменів на основі поєднання положень теорії самодетермінації, теорії потоку та ієрархічної моделі внутрішньої та зовнішньої мотивації та встановити взаємозв’язки між базовими психологічними потребами, станом потоку та мотиваційною динамікою у спортивній діяльності.</w:t>
      </w:r>
      <w:r w:rsidRPr="00C0076E">
        <w:rPr>
          <w:sz w:val="20"/>
          <w:szCs w:val="20"/>
        </w:rPr>
        <w:t xml:space="preserve"> </w:t>
      </w:r>
      <w:r w:rsidRPr="00C0076E">
        <w:rPr>
          <w:b/>
          <w:bCs/>
          <w:sz w:val="20"/>
          <w:szCs w:val="20"/>
        </w:rPr>
        <w:t>Методи дослідження</w:t>
      </w:r>
      <w:r w:rsidRPr="00C0076E">
        <w:rPr>
          <w:sz w:val="20"/>
          <w:szCs w:val="20"/>
        </w:rPr>
        <w:t xml:space="preserve"> включали теоретичний аналіз і узагальнення наукової літератури, порівняльний аналіз, системний підхід та метод теоретичного моделювання. </w:t>
      </w:r>
      <w:r w:rsidRPr="00C0076E">
        <w:rPr>
          <w:b/>
          <w:bCs/>
          <w:sz w:val="20"/>
          <w:szCs w:val="20"/>
        </w:rPr>
        <w:t>Результати.</w:t>
      </w:r>
      <w:r w:rsidRPr="00C0076E">
        <w:rPr>
          <w:sz w:val="20"/>
          <w:szCs w:val="20"/>
        </w:rPr>
        <w:t xml:space="preserve"> Визначено, що внутрішня мотивація є багаторівневим явищем, яке розвивається під впливом задоволення базових психологічних потреб, змісту діяльності та рівневої організації мотиваційних процесів. Обґрунтовано доцільність інтеграції різних теоретичних підходів, оскільки кожен з них пояснює окремі аспекти мотивації: умови її виникнення, характеристики досвіду та динаміку функціонування. </w:t>
      </w:r>
      <w:r w:rsidRPr="00C0076E">
        <w:rPr>
          <w:b/>
          <w:sz w:val="20"/>
          <w:szCs w:val="20"/>
        </w:rPr>
        <w:t>Висновки</w:t>
      </w:r>
      <w:r w:rsidRPr="00C0076E">
        <w:rPr>
          <w:sz w:val="20"/>
          <w:szCs w:val="20"/>
        </w:rPr>
        <w:t xml:space="preserve"> підкреслюють необхідність використання інтегративного підходу для більш повного розуміння внутрішньої мотивації спортсменів в умовах високої змагальної конкуренції.</w:t>
      </w:r>
    </w:p>
    <w:p w:rsidR="00B60EB5" w:rsidRPr="00C0076E" w:rsidRDefault="00B60EB5" w:rsidP="00B60EB5">
      <w:pPr>
        <w:spacing w:after="0" w:line="240" w:lineRule="auto"/>
        <w:ind w:firstLine="709"/>
        <w:jc w:val="both"/>
        <w:rPr>
          <w:sz w:val="20"/>
          <w:szCs w:val="20"/>
        </w:rPr>
      </w:pPr>
      <w:r w:rsidRPr="00C0076E">
        <w:rPr>
          <w:b/>
          <w:bCs/>
          <w:sz w:val="20"/>
          <w:szCs w:val="20"/>
        </w:rPr>
        <w:t xml:space="preserve">Ключові слова: </w:t>
      </w:r>
      <w:r w:rsidRPr="00C0076E">
        <w:rPr>
          <w:sz w:val="20"/>
          <w:szCs w:val="20"/>
        </w:rPr>
        <w:t>теорія потоку, стан потоку, автотелічна діяльність, внутрішня мотивація, самодетермінація, мотиваційна динаміка</w:t>
      </w:r>
    </w:p>
    <w:p w:rsidR="00B60EB5" w:rsidRPr="00C0076E" w:rsidRDefault="00B60EB5" w:rsidP="00B60EB5">
      <w:pPr>
        <w:spacing w:after="0" w:line="240" w:lineRule="auto"/>
        <w:jc w:val="both"/>
        <w:rPr>
          <w:sz w:val="20"/>
          <w:szCs w:val="20"/>
        </w:rPr>
      </w:pPr>
    </w:p>
    <w:p w:rsidR="00B60EB5" w:rsidRPr="00C0076E" w:rsidRDefault="00B60EB5" w:rsidP="00B60EB5">
      <w:pPr>
        <w:spacing w:after="0" w:line="240" w:lineRule="auto"/>
        <w:ind w:firstLine="709"/>
        <w:jc w:val="both"/>
        <w:rPr>
          <w:sz w:val="20"/>
          <w:szCs w:val="20"/>
          <w:lang w:val="en-GB"/>
        </w:rPr>
      </w:pPr>
      <w:r w:rsidRPr="00C0076E">
        <w:rPr>
          <w:b/>
          <w:bCs/>
          <w:sz w:val="20"/>
          <w:szCs w:val="20"/>
          <w:lang w:val="en-GB"/>
        </w:rPr>
        <w:t xml:space="preserve">Abstract. </w:t>
      </w:r>
      <w:r w:rsidRPr="00C0076E">
        <w:rPr>
          <w:sz w:val="20"/>
          <w:szCs w:val="20"/>
          <w:lang w:val="en-GB"/>
        </w:rPr>
        <w:t xml:space="preserve">The article addresses the issue of intrinsic motivation development in athletes within the framework of contemporary theoretical approaches in sport psychology. </w:t>
      </w:r>
      <w:r w:rsidRPr="00C0076E">
        <w:rPr>
          <w:b/>
          <w:bCs/>
          <w:sz w:val="20"/>
          <w:szCs w:val="20"/>
          <w:lang w:val="en-GB"/>
        </w:rPr>
        <w:t>Objective.</w:t>
      </w:r>
      <w:r w:rsidRPr="00C0076E">
        <w:rPr>
          <w:sz w:val="20"/>
          <w:szCs w:val="20"/>
          <w:lang w:val="en-GB"/>
        </w:rPr>
        <w:t xml:space="preserve"> The purpose of the study is to theoretically substantiate an integrative approach to intrinsic motivation in athletes by combining the principles of Self-Determination Theory, Flow Theory, and the Hierarchical Model of Intrinsic and Extrinsic Motivation, as well as to examine the relationship between basic psychological needs, the flow state, and motivational dynamics in sport activity. </w:t>
      </w:r>
      <w:r w:rsidRPr="00C0076E">
        <w:rPr>
          <w:b/>
          <w:bCs/>
          <w:sz w:val="20"/>
          <w:szCs w:val="20"/>
          <w:lang w:val="en-GB"/>
        </w:rPr>
        <w:t>Research methods.</w:t>
      </w:r>
      <w:r w:rsidRPr="00C0076E">
        <w:rPr>
          <w:sz w:val="20"/>
          <w:szCs w:val="20"/>
          <w:lang w:val="en-GB"/>
        </w:rPr>
        <w:t xml:space="preserve"> The study employed theoretical analysis and generalization of scientific literature, comparative analysis, a systems approach, and theoretical modeling. </w:t>
      </w:r>
      <w:r w:rsidRPr="00C0076E">
        <w:rPr>
          <w:b/>
          <w:bCs/>
          <w:sz w:val="20"/>
          <w:szCs w:val="20"/>
          <w:lang w:val="en-GB"/>
        </w:rPr>
        <w:t>Results.</w:t>
      </w:r>
      <w:r w:rsidRPr="00C0076E">
        <w:rPr>
          <w:sz w:val="20"/>
          <w:szCs w:val="20"/>
          <w:lang w:val="en-GB"/>
        </w:rPr>
        <w:t xml:space="preserve"> The analysis of contemporary research in sport psychology has shown that intrinsic motivation is a key factor ensuring long-term engagement in sports activity, persistence in training, and psychological well-being under conditions of high competitive pressure. It has been established that intrinsic motivation is a multidimensional and multilevel phenomenon that develops through the interaction of several components. In particular, within the framework of Self-Determination Theory, intrinsic motivation is associated with the satisfaction of basic psychological needs for autonomy, competence, and relatedness. At the same time, Flow Theory explains the qualitative characteristics of the subjective experience of activity, including a high level of concentration, sense of control, and balance between challenge and skill. The Hierarchical Model of Motivation allows considering motivational processes at situational, contextual, and global levels. The results indicate that each theoretical approach explains only certain aspects of intrinsic motivation, including its emergence, experiential characteristics, and dynamic regulation. </w:t>
      </w:r>
      <w:r w:rsidRPr="00C0076E">
        <w:rPr>
          <w:b/>
          <w:bCs/>
          <w:sz w:val="20"/>
          <w:szCs w:val="20"/>
          <w:lang w:val="en-GB"/>
        </w:rPr>
        <w:t>Conclusions.</w:t>
      </w:r>
      <w:r w:rsidRPr="00C0076E">
        <w:rPr>
          <w:sz w:val="20"/>
          <w:szCs w:val="20"/>
          <w:lang w:val="en-GB"/>
        </w:rPr>
        <w:t xml:space="preserve"> Intrinsic motivation in athletes should be considered as a complex, multidimensional, and multilevel psychological phenomenon. The integration of different theoretical approaches provides a more comprehensive understanding of its mechanisms and allows to more effectively explain the functioning of motivation in conditions of competitive sports activity.</w:t>
      </w:r>
    </w:p>
    <w:p w:rsidR="00B60EB5" w:rsidRPr="00C0076E" w:rsidRDefault="00B60EB5" w:rsidP="00B60EB5">
      <w:pPr>
        <w:spacing w:after="0" w:line="240" w:lineRule="auto"/>
        <w:ind w:firstLine="709"/>
        <w:jc w:val="both"/>
        <w:rPr>
          <w:sz w:val="20"/>
          <w:szCs w:val="20"/>
          <w:lang w:val="en-GB"/>
        </w:rPr>
      </w:pPr>
      <w:r w:rsidRPr="00C0076E">
        <w:rPr>
          <w:b/>
          <w:bCs/>
          <w:sz w:val="20"/>
          <w:szCs w:val="20"/>
          <w:lang w:val="en-GB"/>
        </w:rPr>
        <w:t xml:space="preserve">Keywords: </w:t>
      </w:r>
      <w:r w:rsidRPr="00C0076E">
        <w:rPr>
          <w:sz w:val="20"/>
          <w:szCs w:val="20"/>
          <w:lang w:val="en-GB"/>
        </w:rPr>
        <w:t>flow theory, flow state, autotelic activity, intrinsic motivation, self-determination, motivational dynamics</w:t>
      </w:r>
    </w:p>
    <w:p w:rsidR="00B60EB5" w:rsidRPr="00C0076E" w:rsidRDefault="00B60EB5" w:rsidP="00B60EB5">
      <w:pPr>
        <w:spacing w:after="0" w:line="240" w:lineRule="auto"/>
        <w:jc w:val="both"/>
        <w:rPr>
          <w:b/>
          <w:bCs/>
          <w:sz w:val="24"/>
          <w:szCs w:val="24"/>
        </w:rPr>
      </w:pPr>
    </w:p>
    <w:p w:rsidR="00B60EB5" w:rsidRPr="00C0076E" w:rsidRDefault="00B60EB5" w:rsidP="00B60EB5">
      <w:pPr>
        <w:spacing w:after="0" w:line="240" w:lineRule="auto"/>
        <w:ind w:firstLine="709"/>
        <w:jc w:val="both"/>
        <w:rPr>
          <w:sz w:val="24"/>
          <w:szCs w:val="24"/>
        </w:rPr>
      </w:pPr>
      <w:r w:rsidRPr="00C0076E">
        <w:rPr>
          <w:b/>
          <w:bCs/>
          <w:sz w:val="24"/>
          <w:szCs w:val="24"/>
        </w:rPr>
        <w:t>Постановка проблеми й аналіз результатів останніх досліджень.</w:t>
      </w:r>
      <w:r w:rsidRPr="00C0076E">
        <w:rPr>
          <w:sz w:val="24"/>
          <w:szCs w:val="24"/>
        </w:rPr>
        <w:t xml:space="preserve"> У сучасній психології спорту внутрішня мотивація розглядається як один із ключових чинників, що забезпечує стійку залученість спортсменів у тренувальний процес, ефективність діяльності та довготривале продовження спортивної кар’єри. Дослідження свідчать, що внутрішня мотивація пов’язана з більшою наполегливістю, вищою задоволеністю спортивною діяльністю та нижчим ризиком емоційного вигорання [1,2].</w:t>
      </w:r>
    </w:p>
    <w:p w:rsidR="00802413" w:rsidRDefault="00802413" w:rsidP="00B60EB5">
      <w:pPr>
        <w:framePr w:w="9481" w:h="653" w:hRule="exact" w:wrap="auto" w:vAnchor="page" w:hAnchor="page" w:x="1531" w:y="15488"/>
        <w:spacing w:after="0"/>
        <w:ind w:left="33" w:right="-1"/>
        <w:rPr>
          <w:rFonts w:eastAsia="Calibri"/>
          <w:sz w:val="20"/>
          <w:szCs w:val="20"/>
        </w:rPr>
      </w:pPr>
    </w:p>
    <w:p w:rsidR="00B60EB5" w:rsidRPr="00546D87" w:rsidRDefault="00B60EB5" w:rsidP="00B60EB5">
      <w:pPr>
        <w:framePr w:w="9481" w:h="653" w:hRule="exact" w:wrap="auto" w:vAnchor="page" w:hAnchor="page" w:x="1531" w:y="15488"/>
        <w:spacing w:after="0"/>
        <w:ind w:left="33" w:right="-1"/>
        <w:rPr>
          <w:rFonts w:eastAsia="Calibri"/>
          <w:sz w:val="20"/>
          <w:szCs w:val="20"/>
        </w:rPr>
      </w:pPr>
      <w:r w:rsidRPr="00546D87">
        <w:rPr>
          <w:rFonts w:eastAsia="Calibri"/>
          <w:sz w:val="20"/>
          <w:szCs w:val="20"/>
        </w:rPr>
        <w:t>©</w:t>
      </w:r>
      <w:r w:rsidRPr="00546D87">
        <w:rPr>
          <w:rFonts w:eastAsia="Calibri"/>
          <w:spacing w:val="33"/>
          <w:sz w:val="20"/>
          <w:szCs w:val="20"/>
        </w:rPr>
        <w:t xml:space="preserve"> </w:t>
      </w:r>
      <w:r w:rsidRPr="007B270A">
        <w:rPr>
          <w:rFonts w:eastAsia="Calibri"/>
          <w:bCs/>
          <w:sz w:val="20"/>
          <w:szCs w:val="20"/>
        </w:rPr>
        <w:t>Гак А.,  Фольварочний І., Лі Ч., Ву Ю.</w:t>
      </w:r>
      <w:r w:rsidRPr="00546D87">
        <w:rPr>
          <w:rFonts w:eastAsia="Calibri"/>
          <w:bCs/>
          <w:sz w:val="20"/>
          <w:szCs w:val="20"/>
        </w:rPr>
        <w:t>.,</w:t>
      </w:r>
      <w:r>
        <w:rPr>
          <w:rFonts w:eastAsia="Calibri"/>
          <w:spacing w:val="1"/>
          <w:sz w:val="20"/>
          <w:szCs w:val="20"/>
        </w:rPr>
        <w:t xml:space="preserve"> 2026</w:t>
      </w:r>
      <w:r>
        <w:rPr>
          <w:rFonts w:eastAsia="Calibri"/>
          <w:spacing w:val="1"/>
          <w:sz w:val="20"/>
          <w:szCs w:val="20"/>
        </w:rPr>
        <w:tab/>
      </w:r>
      <w:r>
        <w:rPr>
          <w:rFonts w:eastAsia="Calibri"/>
          <w:spacing w:val="1"/>
          <w:sz w:val="20"/>
          <w:szCs w:val="20"/>
        </w:rPr>
        <w:tab/>
      </w:r>
      <w:r w:rsidRPr="00546D87">
        <w:rPr>
          <w:rFonts w:eastAsia="Calibri"/>
          <w:spacing w:val="1"/>
          <w:sz w:val="20"/>
          <w:szCs w:val="20"/>
        </w:rPr>
        <w:t>Увесь контент ліцензовано за умовами СС BY 4.0</w:t>
      </w:r>
    </w:p>
    <w:p w:rsidR="00B60EB5" w:rsidRPr="00C0076E" w:rsidRDefault="00B60EB5" w:rsidP="00B60EB5">
      <w:pPr>
        <w:spacing w:after="0" w:line="240" w:lineRule="auto"/>
        <w:ind w:firstLine="709"/>
        <w:jc w:val="both"/>
        <w:rPr>
          <w:sz w:val="24"/>
          <w:szCs w:val="24"/>
        </w:rPr>
      </w:pPr>
      <w:r w:rsidRPr="00C0076E">
        <w:rPr>
          <w:sz w:val="24"/>
          <w:szCs w:val="24"/>
        </w:rPr>
        <w:t>Водночас аналіз наукової літератури показує, що внутрішня мотивація у спорті досліджується в межах різних теоретичних підходів, зокрема теорії самодетермінації (Self-Determination Theory, SDT) [3,4], теорії потоку (</w:t>
      </w:r>
      <w:r w:rsidRPr="00C0076E">
        <w:rPr>
          <w:sz w:val="24"/>
          <w:szCs w:val="24"/>
          <w:lang w:val="en-US"/>
        </w:rPr>
        <w:t>Flow</w:t>
      </w:r>
      <w:r w:rsidRPr="00C0076E">
        <w:rPr>
          <w:sz w:val="24"/>
          <w:szCs w:val="24"/>
        </w:rPr>
        <w:t xml:space="preserve"> </w:t>
      </w:r>
      <w:r w:rsidRPr="00C0076E">
        <w:rPr>
          <w:sz w:val="24"/>
          <w:szCs w:val="24"/>
          <w:lang w:val="en-US"/>
        </w:rPr>
        <w:t>theory</w:t>
      </w:r>
      <w:r w:rsidRPr="00C0076E">
        <w:rPr>
          <w:sz w:val="24"/>
          <w:szCs w:val="24"/>
        </w:rPr>
        <w:t xml:space="preserve">) [5,6] та ієрархічної моделі  внутрішньої та зовнішньої мотивації (Hierarchical Model of Intrinsic and Extrinsic Motivation; HMEIM) [7]. Кожен із цих підходів акцентує увагу лише на окремих аспектах мотивації – умовах її виникнення, особливостях переживання або рівневій організації, що свідчить про відсутність цілісної концептуальної моделі даного </w:t>
      </w:r>
      <w:r w:rsidRPr="00C0076E">
        <w:rPr>
          <w:sz w:val="24"/>
          <w:szCs w:val="24"/>
        </w:rPr>
        <w:lastRenderedPageBreak/>
        <w:t>феномену. Це зумовлює необхідність інтегративного підходу до аналізу внутрішньої мотивації спортсменів.</w:t>
      </w:r>
    </w:p>
    <w:p w:rsidR="00B60EB5" w:rsidRPr="00C0076E" w:rsidRDefault="00B60EB5" w:rsidP="00B60EB5">
      <w:pPr>
        <w:spacing w:after="0" w:line="240" w:lineRule="auto"/>
        <w:ind w:firstLine="709"/>
        <w:jc w:val="both"/>
        <w:rPr>
          <w:sz w:val="24"/>
          <w:szCs w:val="24"/>
          <w:lang w:eastAsia="ru-RU"/>
        </w:rPr>
      </w:pPr>
      <w:r w:rsidRPr="00C0076E">
        <w:rPr>
          <w:b/>
          <w:bCs/>
          <w:sz w:val="24"/>
          <w:szCs w:val="24"/>
          <w:lang w:eastAsia="ru-RU"/>
        </w:rPr>
        <w:t>Мета дослідження</w:t>
      </w:r>
      <w:r w:rsidRPr="00C0076E">
        <w:rPr>
          <w:sz w:val="24"/>
          <w:szCs w:val="24"/>
          <w:lang w:eastAsia="ru-RU"/>
        </w:rPr>
        <w:t xml:space="preserve"> – теоретично обґрунтувати інтегративний підхід до внутрішньої мотивації спортсменів на основі поєднання положень теорії самодетермінації, теорії потоку та ієрархічної моделі внутрішньої та зовнішньої мотивації та встановити взаємозв’язок між базовими психологічними потребами, станом потоку та мотиваційною динамікою у спортивній діяльності.</w:t>
      </w:r>
    </w:p>
    <w:p w:rsidR="00B60EB5" w:rsidRPr="00C0076E" w:rsidRDefault="00B60EB5" w:rsidP="00B60EB5">
      <w:pPr>
        <w:spacing w:after="0" w:line="240" w:lineRule="auto"/>
        <w:ind w:firstLine="709"/>
        <w:jc w:val="both"/>
        <w:rPr>
          <w:sz w:val="24"/>
          <w:szCs w:val="24"/>
          <w:lang w:eastAsia="ru-RU"/>
        </w:rPr>
      </w:pPr>
      <w:r w:rsidRPr="00C0076E">
        <w:rPr>
          <w:b/>
          <w:bCs/>
          <w:sz w:val="24"/>
          <w:szCs w:val="24"/>
        </w:rPr>
        <w:t>Методи дослідження.</w:t>
      </w:r>
      <w:r w:rsidRPr="00C0076E">
        <w:rPr>
          <w:sz w:val="24"/>
          <w:szCs w:val="24"/>
        </w:rPr>
        <w:t xml:space="preserve"> </w:t>
      </w:r>
      <w:r w:rsidRPr="00C0076E">
        <w:rPr>
          <w:sz w:val="24"/>
          <w:szCs w:val="24"/>
          <w:lang w:eastAsia="ru-RU"/>
        </w:rPr>
        <w:t>Дослідження має теоретико-аналітичний характер і базується на використанні загальнонаукових і спеціальних методів. Основним методом є теоретичний аналіз та узагальнення наукових джерел, що забезпечило систематизацію підходів до вивчення внутрішньої мотивації у спортивній діяльності. Проаналізовано наукові праці з психології мотивації та спортивної психології, зосереджені на положеннях теорії самодетермінації, теорії потоку та ієрархічної моделі внутрішньої і зовнішньої мотивації.</w:t>
      </w:r>
    </w:p>
    <w:p w:rsidR="00B60EB5" w:rsidRPr="00C0076E" w:rsidRDefault="00B60EB5" w:rsidP="00B60EB5">
      <w:pPr>
        <w:spacing w:after="0" w:line="240" w:lineRule="auto"/>
        <w:ind w:firstLine="709"/>
        <w:jc w:val="both"/>
        <w:rPr>
          <w:sz w:val="24"/>
          <w:szCs w:val="24"/>
          <w:lang w:eastAsia="ru-RU"/>
        </w:rPr>
      </w:pPr>
      <w:r w:rsidRPr="00C0076E">
        <w:rPr>
          <w:sz w:val="24"/>
          <w:szCs w:val="24"/>
          <w:lang w:eastAsia="ru-RU"/>
        </w:rPr>
        <w:t>Застосування порівняльного аналізу дало змогу виявити спільні та відмінні характеристики зазначених теоретичних підходів, а також оцінити їх пояснювальні можливості й обмеження у контексті спортивної діяльності.</w:t>
      </w:r>
    </w:p>
    <w:p w:rsidR="00B60EB5" w:rsidRPr="00C0076E" w:rsidRDefault="00B60EB5" w:rsidP="00B60EB5">
      <w:pPr>
        <w:spacing w:after="0" w:line="240" w:lineRule="auto"/>
        <w:ind w:firstLine="709"/>
        <w:jc w:val="both"/>
        <w:rPr>
          <w:sz w:val="24"/>
          <w:szCs w:val="24"/>
          <w:lang w:eastAsia="ru-RU"/>
        </w:rPr>
      </w:pPr>
      <w:r w:rsidRPr="00C0076E">
        <w:rPr>
          <w:sz w:val="24"/>
          <w:szCs w:val="24"/>
          <w:lang w:eastAsia="ru-RU"/>
        </w:rPr>
        <w:t>Системний підхід використано для розгляду внутрішньої мотивації як цілісного багаторівневого психологічного утворення, сформованого під впливом взаємопов’язаних чинників.</w:t>
      </w:r>
    </w:p>
    <w:p w:rsidR="00B60EB5" w:rsidRPr="00C0076E" w:rsidRDefault="00B60EB5" w:rsidP="00B60EB5">
      <w:pPr>
        <w:spacing w:after="0" w:line="240" w:lineRule="auto"/>
        <w:ind w:firstLine="709"/>
        <w:jc w:val="both"/>
        <w:rPr>
          <w:sz w:val="24"/>
          <w:szCs w:val="24"/>
          <w:lang w:eastAsia="ru-RU"/>
        </w:rPr>
      </w:pPr>
      <w:r w:rsidRPr="00C0076E">
        <w:rPr>
          <w:sz w:val="24"/>
          <w:szCs w:val="24"/>
          <w:lang w:eastAsia="ru-RU"/>
        </w:rPr>
        <w:t>Метод теоретичного моделювання застосовано для інтеграції положень різних теоретичних підходів і формування узагальненого концептуального бачення внутрішньої мотивації спортсменів.</w:t>
      </w:r>
    </w:p>
    <w:p w:rsidR="00B60EB5" w:rsidRPr="00C0076E" w:rsidRDefault="00B60EB5" w:rsidP="00B60EB5">
      <w:pPr>
        <w:spacing w:after="0" w:line="240" w:lineRule="auto"/>
        <w:ind w:firstLine="709"/>
        <w:jc w:val="both"/>
        <w:rPr>
          <w:b/>
          <w:bCs/>
          <w:sz w:val="24"/>
          <w:szCs w:val="24"/>
        </w:rPr>
      </w:pPr>
      <w:r w:rsidRPr="00C0076E">
        <w:rPr>
          <w:b/>
          <w:bCs/>
          <w:sz w:val="24"/>
          <w:szCs w:val="24"/>
        </w:rPr>
        <w:t>Результати дослідження.</w:t>
      </w:r>
      <w:r w:rsidRPr="00C0076E">
        <w:rPr>
          <w:sz w:val="24"/>
          <w:szCs w:val="24"/>
        </w:rPr>
        <w:t xml:space="preserve"> Внутрішня мотивація – це ключове поняття психології мотивації, що позначає спонукання до діяльності, яке виникає зсередини самої особистості і підтримується інтересом та задоволенням від самої діяльності. Внутрішньо вмотивована людина виконує завдання «заради нього самого», тому що воно є цікавим, приємним і самоцінним. Таке визначення запропонували, зокрема, </w:t>
      </w:r>
      <w:r w:rsidRPr="00C0076E">
        <w:rPr>
          <w:sz w:val="24"/>
          <w:szCs w:val="24"/>
          <w:lang w:val="en-US"/>
        </w:rPr>
        <w:t>E</w:t>
      </w:r>
      <w:r w:rsidRPr="00C0076E">
        <w:rPr>
          <w:sz w:val="24"/>
          <w:szCs w:val="24"/>
        </w:rPr>
        <w:t xml:space="preserve">. </w:t>
      </w:r>
      <w:r w:rsidRPr="00C0076E">
        <w:rPr>
          <w:sz w:val="24"/>
          <w:szCs w:val="24"/>
          <w:lang w:val="en-US"/>
        </w:rPr>
        <w:t>Deci</w:t>
      </w:r>
      <w:r w:rsidRPr="00C0076E">
        <w:rPr>
          <w:sz w:val="24"/>
          <w:szCs w:val="24"/>
        </w:rPr>
        <w:t xml:space="preserve"> та </w:t>
      </w:r>
      <w:r w:rsidRPr="00C0076E">
        <w:rPr>
          <w:sz w:val="24"/>
          <w:szCs w:val="24"/>
          <w:lang w:val="en-US"/>
        </w:rPr>
        <w:t>R</w:t>
      </w:r>
      <w:r w:rsidRPr="00C0076E">
        <w:rPr>
          <w:sz w:val="24"/>
          <w:szCs w:val="24"/>
        </w:rPr>
        <w:t xml:space="preserve">. </w:t>
      </w:r>
      <w:r w:rsidRPr="00C0076E">
        <w:rPr>
          <w:sz w:val="24"/>
          <w:szCs w:val="24"/>
          <w:lang w:val="en-US"/>
        </w:rPr>
        <w:t>Ryan</w:t>
      </w:r>
      <w:r w:rsidRPr="00C0076E">
        <w:rPr>
          <w:sz w:val="24"/>
          <w:szCs w:val="24"/>
        </w:rPr>
        <w:t>, які зазначали, що внутрішня мотивація – це здійснення діяльності, яка є сутнісно цікавою або приносить задоволення [4,8]. Внутрішня мотивація описується як притаманна людині тенденція шукати новизну і виклики, розширювати та використовувати свої здібності, досліджувати і навчатися.</w:t>
      </w:r>
    </w:p>
    <w:p w:rsidR="00B60EB5" w:rsidRPr="00C0076E" w:rsidRDefault="00B60EB5" w:rsidP="00B60EB5">
      <w:pPr>
        <w:spacing w:after="0" w:line="240" w:lineRule="auto"/>
        <w:ind w:firstLine="709"/>
        <w:jc w:val="both"/>
        <w:rPr>
          <w:sz w:val="24"/>
          <w:szCs w:val="24"/>
        </w:rPr>
      </w:pPr>
      <w:r w:rsidRPr="00C0076E">
        <w:rPr>
          <w:sz w:val="24"/>
          <w:szCs w:val="24"/>
        </w:rPr>
        <w:t>У спортивній діяльності внутрішня мотивація має вирішальне значення, оскільки значна частина тренувального процесу не супроводжується негайними зовнішніми підкріпленнями та пов’язана з повторюваними, фізично й психологічно складними навантаженнями. Дослідження показують, що внутрішньо мотивовані спортсмени демонструють вищу наполегливість у тренуваннях, більшу задоволеність спортивною діяльністю та нижчий ризик емоційного вигорання, особливо в умовах тривалої підготовки та високої змагальної конкуренції [9,10,11].</w:t>
      </w:r>
    </w:p>
    <w:p w:rsidR="00B60EB5" w:rsidRPr="00C0076E" w:rsidRDefault="00B60EB5" w:rsidP="00B60EB5">
      <w:pPr>
        <w:spacing w:after="0" w:line="240" w:lineRule="auto"/>
        <w:ind w:firstLine="709"/>
        <w:jc w:val="both"/>
        <w:rPr>
          <w:sz w:val="24"/>
          <w:szCs w:val="24"/>
        </w:rPr>
      </w:pPr>
      <w:r w:rsidRPr="00C0076E">
        <w:rPr>
          <w:sz w:val="24"/>
          <w:szCs w:val="24"/>
        </w:rPr>
        <w:t>Саме внутрішня мотивація дозволяє пояснити, чому спортсмени здатні витримувати тривалі й інтенсивні фізичні та психологічні навантаження, підтримувати залученість у підготовці та продовжувати спортивну діяльність у ситуаціях, коли зовнішні винагороди є відстроченими або нестабільними. Зокрема, дослідження свідчать, що внутрішня мотивація пов’язана з більш адаптивними емоційними реакціями на поразки та нижчим ризиком дострокового припинення спортивної кар’єри [2]. У цьому контексті внутрішня мотивація постає не лише як чинник спортивної ефективності, а як психологічна умова збереження й безперервності спортивної діяльності.</w:t>
      </w:r>
    </w:p>
    <w:p w:rsidR="00B60EB5" w:rsidRPr="00C0076E" w:rsidRDefault="00B60EB5" w:rsidP="00B60EB5">
      <w:pPr>
        <w:spacing w:after="0" w:line="240" w:lineRule="auto"/>
        <w:ind w:firstLine="709"/>
        <w:jc w:val="both"/>
        <w:rPr>
          <w:sz w:val="24"/>
          <w:szCs w:val="24"/>
        </w:rPr>
      </w:pPr>
      <w:r w:rsidRPr="00C0076E">
        <w:rPr>
          <w:sz w:val="24"/>
          <w:szCs w:val="24"/>
        </w:rPr>
        <w:t xml:space="preserve">Водночас, попри значний обсяг теоретичних і прикладних досліджень, підходи до аналізу внутрішньої мотивації у спорті залишаються концептуально неоднорідними. Аналіз сучасної наукової літератури свідчить, що внутрішня мотивація здебільшого </w:t>
      </w:r>
      <w:r w:rsidRPr="00C0076E">
        <w:rPr>
          <w:sz w:val="24"/>
          <w:szCs w:val="24"/>
        </w:rPr>
        <w:lastRenderedPageBreak/>
        <w:t>розглядається в межах окремих пояснювальних концепцій, кожна з яких акцентує увагу лише на певних механізмах її формування та функціонування [3,4].</w:t>
      </w:r>
    </w:p>
    <w:p w:rsidR="00B60EB5" w:rsidRPr="00C0076E" w:rsidRDefault="00B60EB5" w:rsidP="00B60EB5">
      <w:pPr>
        <w:spacing w:after="0" w:line="240" w:lineRule="auto"/>
        <w:ind w:firstLine="709"/>
        <w:jc w:val="both"/>
        <w:rPr>
          <w:sz w:val="24"/>
          <w:szCs w:val="24"/>
        </w:rPr>
      </w:pPr>
      <w:r w:rsidRPr="00C0076E">
        <w:rPr>
          <w:sz w:val="24"/>
          <w:szCs w:val="24"/>
        </w:rPr>
        <w:t>Внутрішня мотивація протиставляється зовнішній мотивації, коли поведінка зумовлена очікуванням зовнішніх наслідків – винагород, схвалення, уникнення покарання тощо. Якщо за зовнішньої мотивації діяльність є лише засобом для досягнення зовнішньої мети, то за внутрішньої мотивації сама діяльність виступає джерелом задоволення і має самостійну цінність. Поняття внутрішньої мотивації має фундаментальне значення для розуміння того, чому люди часто займаються певною діяльністю без очевидної зовнішньої вигоди – наприклад, грають, досліджують нове або навчаються з цікавості.</w:t>
      </w:r>
    </w:p>
    <w:p w:rsidR="00B60EB5" w:rsidRPr="00C0076E" w:rsidRDefault="00B60EB5" w:rsidP="00B60EB5">
      <w:pPr>
        <w:spacing w:after="0" w:line="240" w:lineRule="auto"/>
        <w:ind w:firstLine="709"/>
        <w:jc w:val="both"/>
        <w:rPr>
          <w:sz w:val="24"/>
          <w:szCs w:val="24"/>
        </w:rPr>
      </w:pPr>
      <w:r w:rsidRPr="00C0076E">
        <w:rPr>
          <w:sz w:val="24"/>
          <w:szCs w:val="24"/>
        </w:rPr>
        <w:t xml:space="preserve">Однією з ключових ліній пошуку стало осмислення автономії поведінки як внутрішньої умови мотивації. У межах концепції особистісної каузальності R. de Charms розглядав внутрішньо мотивовану активність як таку, що супроводжується переживанням себе як джерела власних дій. Згідно з цим підходом, поведінка набуває внутрішньої мотиваційної якості тоді, коли індивід відчуває, що дії ініціюються ним самим, відповідають його намірам і не є наслідком зовнішнього контролю [12]. </w:t>
      </w:r>
      <w:r>
        <w:rPr>
          <w:sz w:val="24"/>
          <w:szCs w:val="24"/>
        </w:rPr>
        <w:t>А</w:t>
      </w:r>
      <w:r w:rsidRPr="00C0076E">
        <w:rPr>
          <w:sz w:val="24"/>
          <w:szCs w:val="24"/>
        </w:rPr>
        <w:t>втономія розуміється не як формальна свобода вибору, а як суб’єктивне переживання самопричинності поведінки, що надає діяльності внутрішнього сенсу і підтримує її продовження.</w:t>
      </w:r>
    </w:p>
    <w:p w:rsidR="00B60EB5" w:rsidRPr="00C0076E" w:rsidRDefault="00B60EB5" w:rsidP="00B60EB5">
      <w:pPr>
        <w:spacing w:after="0" w:line="240" w:lineRule="auto"/>
        <w:ind w:firstLine="709"/>
        <w:jc w:val="both"/>
        <w:rPr>
          <w:sz w:val="24"/>
          <w:szCs w:val="24"/>
        </w:rPr>
      </w:pPr>
      <w:r w:rsidRPr="00C0076E">
        <w:rPr>
          <w:sz w:val="24"/>
          <w:szCs w:val="24"/>
        </w:rPr>
        <w:t>Сучасні дослідження підтверджують, що саме переживання автономії є центральною передумовою виникнення та підтримки внутрішньої мотивації [3,13]. У спортивному контексті автономна підтримка з боку тренера асоціюється з більш високими показниками внутрішньої мотивації, задоволенням від діяльності та психологічним благополуччям спортсменів [14].</w:t>
      </w:r>
    </w:p>
    <w:p w:rsidR="00B60EB5" w:rsidRPr="00C0076E" w:rsidRDefault="00B60EB5" w:rsidP="00B60EB5">
      <w:pPr>
        <w:spacing w:after="0" w:line="240" w:lineRule="auto"/>
        <w:ind w:firstLine="709"/>
        <w:jc w:val="both"/>
        <w:rPr>
          <w:sz w:val="24"/>
          <w:szCs w:val="24"/>
        </w:rPr>
      </w:pPr>
      <w:r w:rsidRPr="00C0076E">
        <w:rPr>
          <w:sz w:val="24"/>
          <w:szCs w:val="24"/>
        </w:rPr>
        <w:t>Разом з осмисленням автономії розвивалася інша теоретична лінія, пов’язана з переживанням ефективності та майстерності у діяльності. У концепції мотивації компетентності R. White обґрунтував положення про те, що прагнення бути ефективним у взаємодії з середовищем є самостійним мотиваційним чинником [15]. Активність у цьому випадку підтримується позитивним переживанням власної дієвості, контролю над дією та поступового зростання майстерності. Внутрішня мотивація, відповідно, пов’язується не лише з інтересом, а й з досвідом успішного подолання викликів, що саме по собі виконує підкріплювальну функцію. R.</w:t>
      </w:r>
      <w:r w:rsidRPr="00C0076E">
        <w:rPr>
          <w:sz w:val="24"/>
          <w:szCs w:val="24"/>
          <w:lang w:val="en-US"/>
        </w:rPr>
        <w:t> </w:t>
      </w:r>
      <w:r w:rsidRPr="00C0076E">
        <w:rPr>
          <w:sz w:val="24"/>
          <w:szCs w:val="24"/>
        </w:rPr>
        <w:t xml:space="preserve">White постулював існування особливого мотиву, що спонукає організм грати, досліджувати, опановувати нові вміння через позитивне відчуття компетентності, яке виникає при успішній взаємодії з оточенням. Такий мотив не базується на фізіологічному дефіциті, але спонукає організм шукати оптимальні труднощі та освоювати нове. </w:t>
      </w:r>
      <w:r>
        <w:rPr>
          <w:sz w:val="24"/>
          <w:szCs w:val="24"/>
        </w:rPr>
        <w:t>П</w:t>
      </w:r>
      <w:r w:rsidRPr="00C0076E">
        <w:rPr>
          <w:sz w:val="24"/>
          <w:szCs w:val="24"/>
        </w:rPr>
        <w:t>очуття ефективності та компетентності саме по собі приносить насолоду і підкріплює подальшу активність, роблячи її внутрішньо вмотивованою.</w:t>
      </w:r>
    </w:p>
    <w:p w:rsidR="00B60EB5" w:rsidRPr="00C0076E" w:rsidRDefault="00B60EB5" w:rsidP="00B60EB5">
      <w:pPr>
        <w:spacing w:after="0" w:line="240" w:lineRule="auto"/>
        <w:ind w:firstLine="709"/>
        <w:jc w:val="both"/>
        <w:rPr>
          <w:sz w:val="24"/>
          <w:szCs w:val="24"/>
        </w:rPr>
      </w:pPr>
      <w:r w:rsidRPr="00C0076E">
        <w:rPr>
          <w:sz w:val="24"/>
          <w:szCs w:val="24"/>
        </w:rPr>
        <w:t xml:space="preserve">Сучасні емпіричні дослідження підтверджують, що переживання компетентності є важливим чинником розвитку внутрішньої мотивації у спорті [16]. Задоволення потреби у компетентності пов’язане з вищим рівнем залученості, наполегливості та позитивних емоційних переживань у спортсменів різного рівня підготовки </w:t>
      </w:r>
      <w:r w:rsidRPr="00C0076E">
        <w:rPr>
          <w:sz w:val="24"/>
          <w:szCs w:val="24"/>
          <w:lang w:val="ru-RU"/>
        </w:rPr>
        <w:t>[17,18]</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 xml:space="preserve">Подальший розвиток цих ідей було здійснено в межах теорії самодетермінації (Self-Determination Theory, SDT), розробленої </w:t>
      </w:r>
      <w:r w:rsidRPr="00C0076E">
        <w:rPr>
          <w:sz w:val="24"/>
          <w:szCs w:val="24"/>
          <w:lang w:val="en-US"/>
        </w:rPr>
        <w:t>E</w:t>
      </w:r>
      <w:r w:rsidRPr="00C0076E">
        <w:rPr>
          <w:sz w:val="24"/>
          <w:szCs w:val="24"/>
        </w:rPr>
        <w:t>.</w:t>
      </w:r>
      <w:r w:rsidRPr="00C0076E">
        <w:rPr>
          <w:sz w:val="24"/>
          <w:szCs w:val="24"/>
          <w:lang w:val="en-US"/>
        </w:rPr>
        <w:t> </w:t>
      </w:r>
      <w:r w:rsidRPr="00C0076E">
        <w:rPr>
          <w:sz w:val="24"/>
          <w:szCs w:val="24"/>
        </w:rPr>
        <w:t xml:space="preserve">Deci та </w:t>
      </w:r>
      <w:r w:rsidRPr="00C0076E">
        <w:rPr>
          <w:sz w:val="24"/>
          <w:szCs w:val="24"/>
          <w:lang w:val="en-US"/>
        </w:rPr>
        <w:t>R</w:t>
      </w:r>
      <w:r w:rsidRPr="00C0076E">
        <w:rPr>
          <w:sz w:val="24"/>
          <w:szCs w:val="24"/>
        </w:rPr>
        <w:t>.</w:t>
      </w:r>
      <w:r w:rsidRPr="00C0076E">
        <w:rPr>
          <w:sz w:val="24"/>
          <w:szCs w:val="24"/>
          <w:lang w:val="en-US"/>
        </w:rPr>
        <w:t> </w:t>
      </w:r>
      <w:r w:rsidRPr="00C0076E">
        <w:rPr>
          <w:sz w:val="24"/>
          <w:szCs w:val="24"/>
        </w:rPr>
        <w:t xml:space="preserve">Ryan Саме в рамках SDT здійснено концептуальну інтеграцію попередніх підходів, що включають автономію та компетентність до структури базових психологічних потреб, задоволення яких є необхідною умовою виникнення та підтримки внутрішньої мотивації [19]. У межах цієї теорії автономія й компетентність розглядаються не як ситуативні переживання, а як універсальні психологічні потреби, що визначають якість мотиваційної регуляції поведінки [8]. </w:t>
      </w:r>
    </w:p>
    <w:p w:rsidR="00B60EB5" w:rsidRPr="00C0076E" w:rsidRDefault="00B60EB5" w:rsidP="00B60EB5">
      <w:pPr>
        <w:spacing w:after="0" w:line="240" w:lineRule="auto"/>
        <w:ind w:firstLine="709"/>
        <w:jc w:val="both"/>
        <w:rPr>
          <w:sz w:val="24"/>
          <w:szCs w:val="24"/>
          <w:lang w:val="ru-RU"/>
        </w:rPr>
      </w:pPr>
      <w:r w:rsidRPr="00C0076E">
        <w:rPr>
          <w:sz w:val="24"/>
          <w:szCs w:val="24"/>
        </w:rPr>
        <w:lastRenderedPageBreak/>
        <w:t xml:space="preserve">У межах SDT, внутрішня мотивація пояснюється через задоволення базових психологічних потреб, які розглядаються як універсальні, вроджені та необхідні для оптимального функціонування особистості. До таких потреб належать автономія, компетентність і пов’язаність, кожна з яких виконує специфічну регуляторну функцію в мотиваційній системі </w:t>
      </w:r>
      <w:r w:rsidRPr="00C0076E">
        <w:rPr>
          <w:sz w:val="24"/>
          <w:szCs w:val="24"/>
          <w:lang w:val="ru-RU"/>
        </w:rPr>
        <w:t>[20].</w:t>
      </w:r>
    </w:p>
    <w:p w:rsidR="00B60EB5" w:rsidRPr="00C0076E" w:rsidRDefault="00B60EB5" w:rsidP="00B60EB5">
      <w:pPr>
        <w:spacing w:after="0" w:line="240" w:lineRule="auto"/>
        <w:ind w:firstLine="709"/>
        <w:jc w:val="both"/>
        <w:rPr>
          <w:sz w:val="24"/>
          <w:szCs w:val="24"/>
        </w:rPr>
      </w:pPr>
      <w:r w:rsidRPr="00C0076E">
        <w:rPr>
          <w:sz w:val="24"/>
          <w:szCs w:val="24"/>
        </w:rPr>
        <w:t>Потреба в автономії відображає прагнення особистості відчувати себе ініціатором власних дій, діяти відповідно до внутрішніх намірів і цінностей, а не під зовнішнім тиском. Потреба в компетентності пов’язана з переживанням ефективності, майстерності та здатності впливати на результати власної діяльності. Потреба у пов’язаності відображає прагнення до значущих міжособистісних зв’язків, підтримки та відчуття прийняття з боку соціального оточення. Згідно з SDT, саме одночасне та відносно стабільне задоволення цих потреб створює психологічні умови для виникнення і підтримки внутрішньої мотивації [3].</w:t>
      </w:r>
    </w:p>
    <w:p w:rsidR="00B60EB5" w:rsidRPr="00C0076E" w:rsidRDefault="00B60EB5" w:rsidP="00B60EB5">
      <w:pPr>
        <w:spacing w:after="0" w:line="240" w:lineRule="auto"/>
        <w:ind w:firstLine="709"/>
        <w:jc w:val="both"/>
        <w:rPr>
          <w:sz w:val="24"/>
          <w:szCs w:val="24"/>
        </w:rPr>
      </w:pPr>
      <w:r w:rsidRPr="00C0076E">
        <w:rPr>
          <w:sz w:val="24"/>
          <w:szCs w:val="24"/>
        </w:rPr>
        <w:t xml:space="preserve">Однією з ключових переваг SDT є її висока пояснювальна узагальненість. Теорія дозволяє не лише описати факт наявності або відсутності мотивації, а й пояснити якість мотиваційної регуляції, розрізняючи автономні та контрольовані форми мотивації. У цьому сенсі внутрішня мотивація розглядається як найбільш самодетермінована форма регуляції, що призводить до позитивних поведінкових, емоційних та когнітивних наслідків </w:t>
      </w:r>
      <w:r w:rsidRPr="00C0076E">
        <w:rPr>
          <w:sz w:val="24"/>
          <w:szCs w:val="24"/>
          <w:lang w:val="ru-RU"/>
        </w:rPr>
        <w:t>[4]</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 xml:space="preserve">У спортивній психології SDT набула поширення як теоретична основа для аналізу мотиваційного клімату, стилю взаємодії тренера зі спортсменом та умов довготривалої залученості у спорт </w:t>
      </w:r>
      <w:r w:rsidRPr="00C0076E">
        <w:rPr>
          <w:sz w:val="24"/>
          <w:szCs w:val="24"/>
          <w:lang w:val="ru-RU"/>
        </w:rPr>
        <w:t>[21]</w:t>
      </w:r>
      <w:r w:rsidRPr="00C0076E">
        <w:rPr>
          <w:sz w:val="24"/>
          <w:szCs w:val="24"/>
        </w:rPr>
        <w:t xml:space="preserve">. Дослідження показують, що автономно-підтримувальний стиль роботи тренера, який передбачає надання вибору, пояснення сенсу завдань та визнання перспективи спортсмена, сприяє задоволенню базових психологічних потреб спортсменів і, відповідно, розвитку внутрішньої мотивації [22,23]. У свою чергу, внутрішньо мотивовані спортсмени демонструють вищу залученість у тренувальний процес, кращу психологічну адаптацію до змагального стресу та нижчий ризик емоційного вигорання </w:t>
      </w:r>
      <w:r w:rsidRPr="00C0076E">
        <w:rPr>
          <w:sz w:val="24"/>
          <w:szCs w:val="24"/>
          <w:lang w:val="ru-RU"/>
        </w:rPr>
        <w:t>[24]</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Водночас, попри значні теоретичні та прикладні переваги, SDT має низку концептуальних обмежень, особливо в контексті спортивної діяльності. По-перше, теорія зосереджується переважно на умовах виникнення та підтримки мотивації, залишаючи поза фокусом якісні особливості суб’єктивного переживання внутрішньо мотивованої діяльності в конкретних ситуаціях тренування або змагання. По-друге, SDT у меншій мірі описує ситуативні та короткочасні коливання мотивації, які є типовими для спорту з високим рівнем невизначеності, конкуренції та емоційного тиску. По-третє, теорія не надає вичерпного пояснення того, як повторювані мотиваційні переживання інтегруються у довготривалу мотиваційну структуру спортсмена та як вони змінюються в часовій перспективі.</w:t>
      </w:r>
    </w:p>
    <w:p w:rsidR="00B60EB5" w:rsidRPr="00C0076E" w:rsidRDefault="00B60EB5" w:rsidP="00B60EB5">
      <w:pPr>
        <w:spacing w:after="0" w:line="240" w:lineRule="auto"/>
        <w:ind w:firstLine="709"/>
        <w:jc w:val="both"/>
        <w:rPr>
          <w:sz w:val="24"/>
          <w:szCs w:val="24"/>
          <w:lang w:val="ru-RU"/>
        </w:rPr>
      </w:pPr>
      <w:r w:rsidRPr="00C0076E">
        <w:rPr>
          <w:sz w:val="24"/>
          <w:szCs w:val="24"/>
        </w:rPr>
        <w:t>Таким чином, теорія самодетермінації є потужною концептуальною основою для пояснення того, чому внутрішня мотивація виникає і за яких психологічних умов вона підтримується, однак для цілісного розуміння мотивації спортсменів потребує доповнення підходами, що розкривають феноменологічні характеристики мотивації та її рівневу й часову динаміку. Саме це зумовлює доцільність подальшого звернення до інших мотиваційних теорій у межах даного дослідження.</w:t>
      </w:r>
    </w:p>
    <w:p w:rsidR="00B60EB5" w:rsidRPr="00C0076E" w:rsidRDefault="00B60EB5" w:rsidP="00B60EB5">
      <w:pPr>
        <w:spacing w:after="0" w:line="240" w:lineRule="auto"/>
        <w:ind w:firstLine="709"/>
        <w:jc w:val="both"/>
        <w:rPr>
          <w:sz w:val="24"/>
          <w:szCs w:val="24"/>
          <w:lang w:val="ru-RU"/>
        </w:rPr>
      </w:pPr>
      <w:r w:rsidRPr="00C0076E">
        <w:rPr>
          <w:sz w:val="24"/>
          <w:szCs w:val="24"/>
        </w:rPr>
        <w:t xml:space="preserve">У межах теорії самодетермінації внутрішньо вмотивованою вважається діяльність, яку людина виконує, бо вона їй цікава і приносить радість. Іншими словами, інтерес та насолода від діяльності – це центральні ознаки внутрішньої мотивації. Внутрішня мотивація стосується активностей, що здійснюються заради приємних відчуттів, задоволення або властивого їм інтересу </w:t>
      </w:r>
      <w:r w:rsidRPr="00C0076E">
        <w:rPr>
          <w:sz w:val="24"/>
          <w:szCs w:val="24"/>
          <w:lang w:val="ru-RU"/>
        </w:rPr>
        <w:t>[25]</w:t>
      </w:r>
      <w:r w:rsidRPr="00C0076E">
        <w:rPr>
          <w:sz w:val="24"/>
          <w:szCs w:val="24"/>
        </w:rPr>
        <w:t>. Тож, коли ми говоримо про внутрішню мотивацію, ми завжди маємо на увазі наявність інтересу до того, що робиться.</w:t>
      </w:r>
    </w:p>
    <w:p w:rsidR="00B60EB5" w:rsidRPr="00C0076E" w:rsidRDefault="00B60EB5" w:rsidP="00B60EB5">
      <w:pPr>
        <w:spacing w:after="0" w:line="240" w:lineRule="auto"/>
        <w:ind w:firstLine="709"/>
        <w:jc w:val="both"/>
        <w:rPr>
          <w:sz w:val="24"/>
          <w:szCs w:val="24"/>
          <w:lang w:val="ru-RU"/>
        </w:rPr>
      </w:pPr>
      <w:r w:rsidRPr="00C0076E">
        <w:rPr>
          <w:sz w:val="24"/>
          <w:szCs w:val="24"/>
        </w:rPr>
        <w:lastRenderedPageBreak/>
        <w:t>Хоча інтерес є фундаментом внутрішньої мотивації, ці поняття не тотожні. Внутрішня мотивація – це широкий термін, що описує ситуацію, коли людина робить щось за власним бажанням і задля власного задоволення, а не під зовнішнім тиском чи заради нагород.</w:t>
      </w:r>
    </w:p>
    <w:p w:rsidR="00B60EB5" w:rsidRPr="00C0076E" w:rsidRDefault="00B60EB5" w:rsidP="00B60EB5">
      <w:pPr>
        <w:spacing w:after="0" w:line="240" w:lineRule="auto"/>
        <w:ind w:firstLine="709"/>
        <w:jc w:val="both"/>
        <w:rPr>
          <w:sz w:val="24"/>
          <w:szCs w:val="24"/>
        </w:rPr>
      </w:pPr>
      <w:r w:rsidRPr="00C0076E">
        <w:rPr>
          <w:sz w:val="24"/>
          <w:szCs w:val="24"/>
        </w:rPr>
        <w:t>З точки зору психології, інтерес – це специфічний мотиваційний стан, що характеризується зосередженою увагою, залученістю та позитивним емоційним забарвленням щодо певного змісту або діяльності</w:t>
      </w:r>
      <w:r w:rsidRPr="00C0076E">
        <w:rPr>
          <w:sz w:val="24"/>
          <w:szCs w:val="24"/>
          <w:lang w:val="ru-RU"/>
        </w:rPr>
        <w:t xml:space="preserve"> [26]</w:t>
      </w:r>
      <w:r w:rsidRPr="00C0076E">
        <w:rPr>
          <w:sz w:val="24"/>
          <w:szCs w:val="24"/>
        </w:rPr>
        <w:t>. Інтерес може бути ситуативним (тимчасовим, викликаним зовнішнім стимулом) або особистісним (довготривалим, стійким)</w:t>
      </w:r>
      <w:r w:rsidRPr="00C0076E">
        <w:rPr>
          <w:sz w:val="24"/>
          <w:szCs w:val="24"/>
          <w:lang w:val="ru-RU"/>
        </w:rPr>
        <w:t xml:space="preserve"> [27]</w:t>
      </w:r>
      <w:r w:rsidRPr="00C0076E">
        <w:rPr>
          <w:sz w:val="24"/>
          <w:szCs w:val="24"/>
        </w:rPr>
        <w:t>. Ситуативний інтерес виникає у відповідь на особливості ситуації – наприклад, новизну, несподіваність, складність або вибір – і має короткочасний характер. Натомість особистісний інтерес – це тривала схильність людини до певної теми чи діяльності, підкріплена попередніми знаннями, особистою значущістю та позитивними емоціями. Важливо, що особистісний інтерес зазвичай виростає з повторюваних епізодів ситуативного інтересу за наявності належних умов і підтримки.</w:t>
      </w:r>
    </w:p>
    <w:p w:rsidR="00B60EB5" w:rsidRPr="00C0076E" w:rsidRDefault="00B60EB5" w:rsidP="00B60EB5">
      <w:pPr>
        <w:spacing w:after="0" w:line="240" w:lineRule="auto"/>
        <w:ind w:firstLine="709"/>
        <w:jc w:val="both"/>
        <w:rPr>
          <w:sz w:val="24"/>
          <w:szCs w:val="24"/>
        </w:rPr>
      </w:pPr>
      <w:r w:rsidRPr="00C0076E">
        <w:rPr>
          <w:sz w:val="24"/>
          <w:szCs w:val="24"/>
        </w:rPr>
        <w:t>Сучасні дослідження підтверджують, що момент виникнення інтересу та цікавості дійсно виконує роль пускового механізму внутрішньої мотивації [28]. Наприклад, при несподіваному виникненні запитання або зустрічі з чимось незвичним у людини автоматично активуються області мозку, пов’язані з очікуванням нагороди та навчанням. Це означає, що сам процес пізнання стає нагородою, підкріплюючи бажання продовжувати діяльність.</w:t>
      </w:r>
    </w:p>
    <w:p w:rsidR="00B60EB5" w:rsidRPr="00C0076E" w:rsidRDefault="00B60EB5" w:rsidP="00B60EB5">
      <w:pPr>
        <w:spacing w:after="0" w:line="240" w:lineRule="auto"/>
        <w:ind w:firstLine="709"/>
        <w:jc w:val="both"/>
        <w:rPr>
          <w:sz w:val="24"/>
          <w:szCs w:val="24"/>
        </w:rPr>
      </w:pPr>
      <w:r w:rsidRPr="00C0076E">
        <w:rPr>
          <w:sz w:val="24"/>
          <w:szCs w:val="24"/>
        </w:rPr>
        <w:t xml:space="preserve">Ці ідеї були розвинуті у працях </w:t>
      </w:r>
      <w:r w:rsidRPr="00C0076E">
        <w:rPr>
          <w:sz w:val="24"/>
          <w:szCs w:val="24"/>
          <w:lang w:val="en-US"/>
        </w:rPr>
        <w:t>D</w:t>
      </w:r>
      <w:r w:rsidRPr="00C0076E">
        <w:rPr>
          <w:sz w:val="24"/>
          <w:szCs w:val="24"/>
        </w:rPr>
        <w:t>.</w:t>
      </w:r>
      <w:r w:rsidRPr="00C0076E">
        <w:rPr>
          <w:sz w:val="24"/>
          <w:szCs w:val="24"/>
          <w:lang w:val="en-US"/>
        </w:rPr>
        <w:t> </w:t>
      </w:r>
      <w:r w:rsidRPr="00C0076E">
        <w:rPr>
          <w:sz w:val="24"/>
          <w:szCs w:val="24"/>
        </w:rPr>
        <w:t xml:space="preserve">Berlyne, який сформулював теорію пізнавальної цікавості та оптимального рівня збудження. </w:t>
      </w:r>
      <w:r w:rsidRPr="00C0076E">
        <w:rPr>
          <w:sz w:val="24"/>
          <w:szCs w:val="24"/>
          <w:lang w:val="ru-RU"/>
        </w:rPr>
        <w:t>Вчений</w:t>
      </w:r>
      <w:r w:rsidRPr="00C0076E">
        <w:rPr>
          <w:sz w:val="24"/>
          <w:szCs w:val="24"/>
        </w:rPr>
        <w:t xml:space="preserve"> показав, що такі характеристики стимулів, як новизна, складність, невизначеність і конфлікт, можуть виступати самостійними джерелами внутрішньої мотивації. Інтерес і позитивні емоції виникають за помірного, оптимального рівня стимуляції, тоді як надмірна або недостатня складність знижує мотивацію. Цей підхід дозволив концептуалізувати внутрішню мотивацію як прагнення до оптимального виклику, а не лише до зменшення напруги або задоволення потреб</w:t>
      </w:r>
      <w:r w:rsidRPr="00C0076E">
        <w:rPr>
          <w:sz w:val="24"/>
          <w:szCs w:val="24"/>
          <w:lang w:val="ru-RU"/>
        </w:rPr>
        <w:t xml:space="preserve"> [29]</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Схожим чином</w:t>
      </w:r>
      <w:r w:rsidRPr="00C0076E">
        <w:rPr>
          <w:sz w:val="24"/>
          <w:szCs w:val="24"/>
          <w:lang w:val="ru-RU"/>
        </w:rPr>
        <w:t>,</w:t>
      </w:r>
      <w:r w:rsidRPr="00C0076E">
        <w:rPr>
          <w:sz w:val="24"/>
          <w:szCs w:val="24"/>
        </w:rPr>
        <w:t xml:space="preserve"> </w:t>
      </w:r>
      <w:r w:rsidRPr="00C0076E">
        <w:rPr>
          <w:sz w:val="24"/>
          <w:szCs w:val="24"/>
          <w:lang w:val="en-US"/>
        </w:rPr>
        <w:t>J</w:t>
      </w:r>
      <w:r w:rsidRPr="00C0076E">
        <w:rPr>
          <w:sz w:val="24"/>
          <w:szCs w:val="24"/>
        </w:rPr>
        <w:t>.</w:t>
      </w:r>
      <w:r w:rsidRPr="00C0076E">
        <w:rPr>
          <w:sz w:val="24"/>
          <w:szCs w:val="24"/>
          <w:lang w:val="en-US"/>
        </w:rPr>
        <w:t> </w:t>
      </w:r>
      <w:r w:rsidRPr="00C0076E">
        <w:rPr>
          <w:sz w:val="24"/>
          <w:szCs w:val="24"/>
        </w:rPr>
        <w:t xml:space="preserve">Piage розглядав поведінку суб’єкта як зумовлену внутрішньою потребою у когнітивній рівновазі. Згідно з його підходом, розвиток відбувається через процеси асиміляції та акомодації, а пізнавальна й ігрова активність підтримується прагненням узгодити наявні когнітивні схеми з новими вимогами середовища [30]. Важливо, що така активність не потребує зовнішнього підкріплення, оскільки сам процес подолання когнітивного дисбалансу має внутрішню мотиваційну цінність. </w:t>
      </w:r>
      <w:r>
        <w:rPr>
          <w:sz w:val="24"/>
          <w:szCs w:val="24"/>
        </w:rPr>
        <w:t>М</w:t>
      </w:r>
      <w:r w:rsidRPr="00C0076E">
        <w:rPr>
          <w:sz w:val="24"/>
          <w:szCs w:val="24"/>
        </w:rPr>
        <w:t>отивація постає як процес, спрямований на підтримання оптимального рівня складності та розвитку.</w:t>
      </w:r>
    </w:p>
    <w:p w:rsidR="00B60EB5" w:rsidRPr="00C0076E" w:rsidRDefault="00B60EB5" w:rsidP="00B60EB5">
      <w:pPr>
        <w:spacing w:after="0" w:line="240" w:lineRule="auto"/>
        <w:ind w:firstLine="709"/>
        <w:jc w:val="both"/>
        <w:rPr>
          <w:sz w:val="24"/>
          <w:szCs w:val="24"/>
        </w:rPr>
      </w:pPr>
      <w:r w:rsidRPr="00C0076E">
        <w:rPr>
          <w:sz w:val="24"/>
          <w:szCs w:val="24"/>
        </w:rPr>
        <w:t xml:space="preserve">Саме на поєднанні цих уявлень ґрунтується сучасна теорія потоку, розроблена </w:t>
      </w:r>
      <w:r w:rsidRPr="00C0076E">
        <w:rPr>
          <w:sz w:val="24"/>
          <w:szCs w:val="24"/>
          <w:lang w:val="en-US"/>
        </w:rPr>
        <w:t>M</w:t>
      </w:r>
      <w:r w:rsidRPr="00C0076E">
        <w:rPr>
          <w:sz w:val="24"/>
          <w:szCs w:val="24"/>
        </w:rPr>
        <w:t>.</w:t>
      </w:r>
      <w:r w:rsidRPr="00C0076E">
        <w:rPr>
          <w:sz w:val="24"/>
          <w:szCs w:val="24"/>
          <w:lang w:val="en-US"/>
        </w:rPr>
        <w:t> </w:t>
      </w:r>
      <w:r w:rsidRPr="00C0076E">
        <w:rPr>
          <w:sz w:val="24"/>
          <w:szCs w:val="24"/>
        </w:rPr>
        <w:t>Csikszentmihalyi Узагальнюючи результати феноменологічних досліджень творчої, спортивної та професійної діяльності, він дійшов висновку, що потік – це стан максимальної внутрішньої мотивації, який виникає за умови динамічної рівноваги між рівнем складності завдання та рівнем навичок індивіда. У стані потоку діяльність набуває автотелічного характеру, тобто виконується заради неї самої і супроводжується високою концентрацією, втратою відчуття часу та прагненням продовжувати активність незалежно від зовнішніх результатів [31].</w:t>
      </w:r>
    </w:p>
    <w:p w:rsidR="00B60EB5" w:rsidRPr="00C0076E" w:rsidRDefault="00B60EB5" w:rsidP="00B60EB5">
      <w:pPr>
        <w:spacing w:after="0" w:line="240" w:lineRule="auto"/>
        <w:ind w:firstLine="709"/>
        <w:jc w:val="both"/>
        <w:rPr>
          <w:sz w:val="24"/>
          <w:szCs w:val="24"/>
        </w:rPr>
      </w:pPr>
      <w:r w:rsidRPr="00C0076E">
        <w:rPr>
          <w:sz w:val="24"/>
          <w:szCs w:val="24"/>
        </w:rPr>
        <w:t xml:space="preserve">Ключовою умовою переживання потоку є баланс між викликом і навичками: оптимальна діяльність знаходиться на межі між нудьгою та тривогою, тобто коли рівень складності завдання добре збалансований із уміннями виконавця. Якщо завдання надто просте відносно здібностей, виникає нудьга; якщо ж надто складне – з’являється тривога та напруження. Стан потоку настає, коли поставлені перед людиною вимоги достатньо високі, але досяжні, відповідно до її навичок. Окрім цього, дослідження підкреслюють важливість інших умов: діяльність повинна мати чітко визначені цілі та </w:t>
      </w:r>
      <w:r w:rsidRPr="00C0076E">
        <w:rPr>
          <w:sz w:val="24"/>
          <w:szCs w:val="24"/>
        </w:rPr>
        <w:lastRenderedPageBreak/>
        <w:t xml:space="preserve">надавати негайний зворотний зв’язок щодо успіху дій. Ясність цілей і оперативний зворотний зв’язок дозволяють повністю зосередитися на завданні та підтримують відчуття контролю над ситуацією, що є критично важливим для входження у стан потоку. У сукупності зазначені умови створюють контекст, за якого можлива повна концентрація і залученість у діяльність – необхідне підґрунтя для виникнення потоку </w:t>
      </w:r>
      <w:r w:rsidRPr="00C0076E">
        <w:rPr>
          <w:sz w:val="24"/>
          <w:szCs w:val="24"/>
          <w:lang w:val="ru-RU"/>
        </w:rPr>
        <w:t>[32]</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 xml:space="preserve">Суб’єктивний досвід у стані потоку вважається оптимальним переживанням </w:t>
      </w:r>
      <w:r w:rsidRPr="00C0076E">
        <w:rPr>
          <w:sz w:val="24"/>
          <w:szCs w:val="24"/>
          <w:lang w:val="ru-RU"/>
        </w:rPr>
        <w:t>[6]</w:t>
      </w:r>
      <w:r w:rsidRPr="00C0076E">
        <w:rPr>
          <w:sz w:val="24"/>
          <w:szCs w:val="24"/>
        </w:rPr>
        <w:t xml:space="preserve">. Людина відчуває інтенсивну, сфокусовану концентрацію на поточній діяльності, настільки глибоку, що дія та усвідомлення зливаються воєдино (втрачається розділення між виконавцем і його діями). Зазвичай присутнє чітке відчуття контролю над тим, що відбувається, при цьому зникають тривожність і сумніви у власних здібностях. Характерною особливістю є також втрата рефлексивної самосвідомості – увага настільки поглинена завданням, що людина перестає обмірковувати себе зі сторони. Ще одним феноменом потоку є зміна сприйняття часу: години можуть минати як хвилини, а миті розтягуватися – звичне відчуття часу спотворюється під час повного занурення в активність. Перебуваючи в потоці, людина настільки заглиблена в процес, що всі сторонні думки та відчуття відступають на другий план – увага поглинається лише поточною дією. Сукупність цих переживань створює відчуття особливого піднесення та ясності, яке </w:t>
      </w:r>
      <w:r w:rsidRPr="00C0076E">
        <w:rPr>
          <w:sz w:val="24"/>
          <w:szCs w:val="24"/>
          <w:lang w:val="en-US"/>
        </w:rPr>
        <w:t>M</w:t>
      </w:r>
      <w:r w:rsidRPr="00C0076E">
        <w:rPr>
          <w:sz w:val="24"/>
          <w:szCs w:val="24"/>
        </w:rPr>
        <w:t>.</w:t>
      </w:r>
      <w:r w:rsidRPr="00C0076E">
        <w:rPr>
          <w:sz w:val="24"/>
          <w:szCs w:val="24"/>
          <w:lang w:val="en-US"/>
        </w:rPr>
        <w:t> </w:t>
      </w:r>
      <w:r w:rsidRPr="00C0076E">
        <w:rPr>
          <w:sz w:val="24"/>
          <w:szCs w:val="24"/>
        </w:rPr>
        <w:t>Csikszentmihalyi описував як «оптимальний досвід» або ж стан повного залучення в діяльність [31].</w:t>
      </w:r>
    </w:p>
    <w:p w:rsidR="00B60EB5" w:rsidRPr="00C0076E" w:rsidRDefault="00B60EB5" w:rsidP="00B60EB5">
      <w:pPr>
        <w:spacing w:after="0" w:line="240" w:lineRule="auto"/>
        <w:ind w:firstLine="709"/>
        <w:jc w:val="both"/>
        <w:rPr>
          <w:sz w:val="24"/>
          <w:szCs w:val="24"/>
        </w:rPr>
      </w:pPr>
      <w:r w:rsidRPr="00C0076E">
        <w:rPr>
          <w:sz w:val="24"/>
          <w:szCs w:val="24"/>
        </w:rPr>
        <w:t>Однією з ключових характеристик потоку є його автотелічність, тобто самоцільний характер діяльності. Дослідження підтверджують, що потік є по суті станом максимальної внутрішньої мотивації, оскільки поєднання інтенсивного залучення та насолоди від діяльності спонукає продовжувати її добровільно [33]. Іншими словами, переживаючи потік, індивід отримує настільки сильне позитивне підкріплення від самого процесу, що це підживлює його зацікавленість і наполегливість. Такий автотелічний досвід тісно пов’язаний із внутрішньою мотивацією: поняття «автотелічний» у теорії потоку фактично є синонімом діяльності, мотивованої зсередини. Саме тому потік розглядають як стан внутрішньої мотивації, що максимізує творчість, продуктивність і задоволення від роботи над завданням без потреби в зовнішніх стимулах.</w:t>
      </w:r>
    </w:p>
    <w:p w:rsidR="00B60EB5" w:rsidRPr="00C0076E" w:rsidRDefault="00B60EB5" w:rsidP="00B60EB5">
      <w:pPr>
        <w:spacing w:after="0" w:line="240" w:lineRule="auto"/>
        <w:ind w:firstLine="709"/>
        <w:jc w:val="both"/>
        <w:rPr>
          <w:sz w:val="24"/>
          <w:szCs w:val="24"/>
        </w:rPr>
      </w:pPr>
      <w:r w:rsidRPr="00C0076E">
        <w:rPr>
          <w:sz w:val="24"/>
          <w:szCs w:val="24"/>
        </w:rPr>
        <w:t>Теорія потоку надає засоби для опису суб’єктивного досвіду спортсмена на піку мотиваційного залучення. Спортсмени у стані потоку повідомляють про повне поглинення діяльністю, відчуття єдності з виконуваною дією, насолоду і емоційне піднесення під час виступу [34]. Це дозволяє дослідникам і практикам краще розуміти, що переживає спортсмен, коли він максимально мотивований і сфокусований.</w:t>
      </w:r>
    </w:p>
    <w:p w:rsidR="00B60EB5" w:rsidRPr="00C0076E" w:rsidRDefault="00B60EB5" w:rsidP="00B60EB5">
      <w:pPr>
        <w:spacing w:after="0" w:line="240" w:lineRule="auto"/>
        <w:ind w:firstLine="709"/>
        <w:jc w:val="both"/>
        <w:rPr>
          <w:sz w:val="24"/>
          <w:szCs w:val="24"/>
        </w:rPr>
      </w:pPr>
      <w:r w:rsidRPr="00C0076E">
        <w:rPr>
          <w:sz w:val="24"/>
          <w:szCs w:val="24"/>
        </w:rPr>
        <w:t xml:space="preserve">Дослідження показують, що стан потоку часто збігається з найкращими спортивними досягненнями. Мета аналіз підтвердив, що існує помірний позитивний зв’язок між перебуванням у потоці та ефективністю виконання. Високий рівень потоку асоціюється з поліпшенням концентрації, впевненості та уникненням деструктивної самокритики, що може сприяти кращим результатам </w:t>
      </w:r>
      <w:r w:rsidRPr="00C0076E">
        <w:rPr>
          <w:sz w:val="24"/>
          <w:szCs w:val="24"/>
          <w:lang w:val="ru-RU"/>
        </w:rPr>
        <w:t>[35]</w:t>
      </w:r>
      <w:r w:rsidRPr="00C0076E">
        <w:rPr>
          <w:sz w:val="24"/>
          <w:szCs w:val="24"/>
        </w:rPr>
        <w:t xml:space="preserve">. </w:t>
      </w:r>
    </w:p>
    <w:p w:rsidR="00B60EB5" w:rsidRPr="00C0076E" w:rsidRDefault="00B60EB5" w:rsidP="00B60EB5">
      <w:pPr>
        <w:spacing w:after="0" w:line="240" w:lineRule="auto"/>
        <w:ind w:firstLine="709"/>
        <w:jc w:val="both"/>
        <w:rPr>
          <w:sz w:val="24"/>
          <w:szCs w:val="24"/>
        </w:rPr>
      </w:pPr>
      <w:r w:rsidRPr="00C0076E">
        <w:rPr>
          <w:sz w:val="24"/>
          <w:szCs w:val="24"/>
        </w:rPr>
        <w:t>Теорія потоку є потужним підходом у спортивній психології, тому що вона висвітлює якісний бік мотивації – глибоке залучення і насолоду від спорту. Не лише пояснює, як спортсмен себе почуває у моменти найкращих виступів, але й допомагає знаходити способи зробити такі переживання частішими. Все це робить теорію потоку цінною для розуміння і підвищення мотивації як професійних атлетів, так і юних спортсменів.</w:t>
      </w:r>
    </w:p>
    <w:p w:rsidR="00B60EB5" w:rsidRPr="00C0076E" w:rsidRDefault="00B60EB5" w:rsidP="00B60EB5">
      <w:pPr>
        <w:spacing w:after="0" w:line="240" w:lineRule="auto"/>
        <w:ind w:firstLine="709"/>
        <w:jc w:val="both"/>
        <w:rPr>
          <w:sz w:val="24"/>
          <w:szCs w:val="24"/>
        </w:rPr>
      </w:pPr>
      <w:r w:rsidRPr="00C0076E">
        <w:rPr>
          <w:sz w:val="24"/>
          <w:szCs w:val="24"/>
        </w:rPr>
        <w:t>Потік – це за визначенням тимчасовий, перехідний стан, що залежить від контексту. У спорті він може виникати епізодично і так само швидко зникати при зміні умов. Це означає, що теорія потоку пояснює моменти пікового залучення, але не описує звичайні стани спортсмена в повсякденному тренуванні чи під час спаду форми.</w:t>
      </w:r>
    </w:p>
    <w:p w:rsidR="00B60EB5" w:rsidRPr="00C0076E" w:rsidRDefault="00B60EB5" w:rsidP="00B60EB5">
      <w:pPr>
        <w:spacing w:after="0" w:line="240" w:lineRule="auto"/>
        <w:ind w:firstLine="709"/>
        <w:jc w:val="both"/>
        <w:rPr>
          <w:sz w:val="24"/>
          <w:szCs w:val="24"/>
        </w:rPr>
      </w:pPr>
      <w:r w:rsidRPr="00C0076E">
        <w:rPr>
          <w:sz w:val="24"/>
          <w:szCs w:val="24"/>
        </w:rPr>
        <w:lastRenderedPageBreak/>
        <w:t>Теорія припускає, що через автотелічність діяльності люди будуть прагнути знову пережити потік, але виникнення потоку залежить від наявності оптимальних умов, які не завжди присутні. Наприклад, якщо змагання не є достатньо складним або, навпаки, завдання надто перевищує навички спортсмена, стан потоку може так і не настати.</w:t>
      </w:r>
    </w:p>
    <w:p w:rsidR="00B60EB5" w:rsidRPr="00C0076E" w:rsidRDefault="00B60EB5" w:rsidP="00B60EB5">
      <w:pPr>
        <w:spacing w:after="0" w:line="240" w:lineRule="auto"/>
        <w:ind w:firstLine="709"/>
        <w:jc w:val="both"/>
        <w:rPr>
          <w:sz w:val="24"/>
          <w:szCs w:val="24"/>
        </w:rPr>
      </w:pPr>
      <w:r w:rsidRPr="00C0076E">
        <w:rPr>
          <w:sz w:val="24"/>
          <w:szCs w:val="24"/>
          <w:lang w:val="ru-RU"/>
        </w:rPr>
        <w:t>Т</w:t>
      </w:r>
      <w:r w:rsidRPr="00C0076E">
        <w:rPr>
          <w:sz w:val="24"/>
          <w:szCs w:val="24"/>
        </w:rPr>
        <w:t>еорія потоку сфокусована переважно на окремих епізодах і не пропонує повної моделі довгострокової мотивації спортсменів. Таким чином, потік – це лише один з компонентів мотивації.</w:t>
      </w:r>
    </w:p>
    <w:p w:rsidR="00B60EB5" w:rsidRPr="00C0076E" w:rsidRDefault="00B60EB5" w:rsidP="00B60EB5">
      <w:pPr>
        <w:spacing w:after="0" w:line="240" w:lineRule="auto"/>
        <w:ind w:firstLine="709"/>
        <w:jc w:val="both"/>
        <w:rPr>
          <w:sz w:val="24"/>
          <w:szCs w:val="24"/>
        </w:rPr>
      </w:pPr>
      <w:r w:rsidRPr="00C0076E">
        <w:rPr>
          <w:sz w:val="24"/>
          <w:szCs w:val="24"/>
        </w:rPr>
        <w:t>Виходячи з наведеного аналізу, можна зробити висновок, що жодна теорія вичерпно не пояснює виникнення внутрішньої мотивації у спорті, однак у сукупності вони дозволяють сформувати цілісне бачення її формування та підтримки. З цією метою у табл</w:t>
      </w:r>
      <w:r w:rsidRPr="00C0076E">
        <w:rPr>
          <w:sz w:val="24"/>
          <w:szCs w:val="24"/>
          <w:lang w:val="ru-RU"/>
        </w:rPr>
        <w:t>.</w:t>
      </w:r>
      <w:r w:rsidRPr="00C0076E">
        <w:rPr>
          <w:sz w:val="24"/>
          <w:szCs w:val="24"/>
          <w:lang w:val="en-US"/>
        </w:rPr>
        <w:t> </w:t>
      </w:r>
      <w:r w:rsidRPr="00C0076E">
        <w:rPr>
          <w:sz w:val="24"/>
          <w:szCs w:val="24"/>
        </w:rPr>
        <w:t>1 представлено інтегровану систему умов виникнення внутрішньої мотивації спортсменів, де наведено ключові психологічні чинники та їхню реалізацію у спортивному контексті.</w:t>
      </w:r>
    </w:p>
    <w:p w:rsidR="00B60EB5" w:rsidRPr="00C0076E" w:rsidRDefault="00B60EB5" w:rsidP="00B60EB5">
      <w:pPr>
        <w:spacing w:after="0" w:line="240" w:lineRule="auto"/>
        <w:ind w:firstLine="709"/>
        <w:jc w:val="both"/>
        <w:rPr>
          <w:sz w:val="24"/>
          <w:szCs w:val="24"/>
        </w:rPr>
      </w:pPr>
    </w:p>
    <w:p w:rsidR="00B60EB5" w:rsidRPr="00C0076E" w:rsidRDefault="00B60EB5" w:rsidP="00B60EB5">
      <w:pPr>
        <w:spacing w:after="0" w:line="240" w:lineRule="auto"/>
        <w:ind w:firstLine="709"/>
        <w:jc w:val="right"/>
        <w:rPr>
          <w:i/>
          <w:sz w:val="24"/>
          <w:szCs w:val="24"/>
        </w:rPr>
      </w:pPr>
      <w:r w:rsidRPr="00C0076E">
        <w:rPr>
          <w:i/>
          <w:sz w:val="24"/>
          <w:szCs w:val="24"/>
        </w:rPr>
        <w:t>Таблиця 1</w:t>
      </w:r>
    </w:p>
    <w:p w:rsidR="00B60EB5" w:rsidRPr="00C0076E" w:rsidRDefault="00B60EB5" w:rsidP="00B60EB5">
      <w:pPr>
        <w:spacing w:after="0" w:line="240" w:lineRule="auto"/>
        <w:ind w:firstLine="709"/>
        <w:jc w:val="center"/>
        <w:rPr>
          <w:b/>
          <w:bCs/>
          <w:sz w:val="24"/>
          <w:szCs w:val="24"/>
        </w:rPr>
      </w:pPr>
      <w:r w:rsidRPr="00C0076E">
        <w:rPr>
          <w:b/>
          <w:bCs/>
          <w:sz w:val="24"/>
          <w:szCs w:val="24"/>
        </w:rPr>
        <w:t>Психологічні передумови формування внутрішньо мотивованої поведінки у спорті</w:t>
      </w:r>
    </w:p>
    <w:tbl>
      <w:tblPr>
        <w:tblW w:w="963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47"/>
        <w:gridCol w:w="3327"/>
        <w:gridCol w:w="3263"/>
      </w:tblGrid>
      <w:tr w:rsidR="00B60EB5" w:rsidRPr="003815E7" w:rsidTr="00C07F42">
        <w:trPr>
          <w:cantSplit/>
          <w:trHeight w:val="841"/>
        </w:trPr>
        <w:tc>
          <w:tcPr>
            <w:tcW w:w="3047" w:type="dxa"/>
            <w:tcBorders>
              <w:top w:val="single" w:sz="4" w:space="0" w:color="auto"/>
              <w:bottom w:val="single" w:sz="4" w:space="0" w:color="auto"/>
            </w:tcBorders>
            <w:vAlign w:val="center"/>
          </w:tcPr>
          <w:p w:rsidR="00B60EB5" w:rsidRPr="00C0076E" w:rsidRDefault="00B60EB5" w:rsidP="00B60EB5">
            <w:pPr>
              <w:spacing w:after="0" w:line="240" w:lineRule="auto"/>
              <w:jc w:val="center"/>
              <w:rPr>
                <w:sz w:val="24"/>
                <w:szCs w:val="24"/>
              </w:rPr>
            </w:pPr>
            <w:r w:rsidRPr="00C0076E">
              <w:rPr>
                <w:sz w:val="24"/>
                <w:szCs w:val="24"/>
              </w:rPr>
              <w:t>Обов</w:t>
            </w:r>
            <w:r w:rsidRPr="00C0076E">
              <w:rPr>
                <w:sz w:val="24"/>
                <w:szCs w:val="24"/>
                <w:lang w:val="ru-RU"/>
              </w:rPr>
              <w:t>’</w:t>
            </w:r>
            <w:r w:rsidRPr="00C0076E">
              <w:rPr>
                <w:sz w:val="24"/>
                <w:szCs w:val="24"/>
              </w:rPr>
              <w:t>язкова передумова внутрішньо мотивованої поведінки</w:t>
            </w:r>
          </w:p>
        </w:tc>
        <w:tc>
          <w:tcPr>
            <w:tcW w:w="3327" w:type="dxa"/>
            <w:tcBorders>
              <w:top w:val="single" w:sz="4" w:space="0" w:color="auto"/>
              <w:bottom w:val="single" w:sz="4" w:space="0" w:color="auto"/>
            </w:tcBorders>
            <w:vAlign w:val="center"/>
          </w:tcPr>
          <w:p w:rsidR="00B60EB5" w:rsidRPr="00C0076E" w:rsidRDefault="00B60EB5" w:rsidP="00B60EB5">
            <w:pPr>
              <w:spacing w:after="0" w:line="240" w:lineRule="auto"/>
              <w:jc w:val="center"/>
              <w:rPr>
                <w:sz w:val="24"/>
                <w:szCs w:val="24"/>
              </w:rPr>
            </w:pPr>
            <w:r w:rsidRPr="00C0076E">
              <w:rPr>
                <w:sz w:val="24"/>
                <w:szCs w:val="24"/>
              </w:rPr>
              <w:t>Реалізація у спортивній діяльності</w:t>
            </w:r>
          </w:p>
        </w:tc>
        <w:tc>
          <w:tcPr>
            <w:tcW w:w="3263" w:type="dxa"/>
            <w:tcBorders>
              <w:top w:val="single" w:sz="4" w:space="0" w:color="auto"/>
              <w:bottom w:val="single" w:sz="4" w:space="0" w:color="auto"/>
            </w:tcBorders>
            <w:vAlign w:val="center"/>
          </w:tcPr>
          <w:p w:rsidR="00B60EB5" w:rsidRPr="00C0076E" w:rsidRDefault="00B60EB5" w:rsidP="00B60EB5">
            <w:pPr>
              <w:spacing w:after="0" w:line="240" w:lineRule="auto"/>
              <w:jc w:val="center"/>
              <w:rPr>
                <w:sz w:val="24"/>
                <w:szCs w:val="24"/>
                <w:lang w:val="ru-RU"/>
              </w:rPr>
            </w:pPr>
            <w:r w:rsidRPr="00C0076E">
              <w:rPr>
                <w:sz w:val="24"/>
                <w:szCs w:val="24"/>
                <w:lang w:val="ru-RU"/>
              </w:rPr>
              <w:t>Механ</w:t>
            </w:r>
            <w:r w:rsidRPr="00C0076E">
              <w:rPr>
                <w:sz w:val="24"/>
                <w:szCs w:val="24"/>
              </w:rPr>
              <w:t>ізм формування внутрішньої мотивації</w:t>
            </w:r>
          </w:p>
        </w:tc>
      </w:tr>
      <w:tr w:rsidR="00B60EB5" w:rsidRPr="003815E7" w:rsidTr="00C07F42">
        <w:trPr>
          <w:cantSplit/>
          <w:trHeight w:val="1190"/>
        </w:trPr>
        <w:tc>
          <w:tcPr>
            <w:tcW w:w="3047" w:type="dxa"/>
            <w:tcBorders>
              <w:top w:val="single" w:sz="4" w:space="0" w:color="auto"/>
            </w:tcBorders>
          </w:tcPr>
          <w:p w:rsidR="00B60EB5" w:rsidRPr="00C0076E" w:rsidRDefault="00B60EB5" w:rsidP="00B60EB5">
            <w:pPr>
              <w:spacing w:after="0" w:line="240" w:lineRule="auto"/>
              <w:jc w:val="both"/>
              <w:rPr>
                <w:sz w:val="24"/>
                <w:szCs w:val="24"/>
              </w:rPr>
            </w:pPr>
            <w:r w:rsidRPr="00C0076E">
              <w:rPr>
                <w:sz w:val="24"/>
                <w:szCs w:val="24"/>
              </w:rPr>
              <w:t>Відчуття автономії</w:t>
            </w:r>
          </w:p>
        </w:tc>
        <w:tc>
          <w:tcPr>
            <w:tcW w:w="3327" w:type="dxa"/>
            <w:tcBorders>
              <w:top w:val="single" w:sz="4" w:space="0" w:color="auto"/>
            </w:tcBorders>
          </w:tcPr>
          <w:p w:rsidR="00B60EB5" w:rsidRPr="00C0076E" w:rsidRDefault="00B60EB5" w:rsidP="00B60EB5">
            <w:pPr>
              <w:spacing w:after="0" w:line="240" w:lineRule="auto"/>
              <w:jc w:val="both"/>
              <w:rPr>
                <w:sz w:val="24"/>
                <w:szCs w:val="24"/>
              </w:rPr>
            </w:pPr>
            <w:r w:rsidRPr="00C0076E">
              <w:rPr>
                <w:sz w:val="24"/>
                <w:szCs w:val="24"/>
              </w:rPr>
              <w:t>Спортсмен має можливість самостійно приймати рішення щодо способу виконання вправи або тактики гри</w:t>
            </w:r>
          </w:p>
        </w:tc>
        <w:tc>
          <w:tcPr>
            <w:tcW w:w="3263" w:type="dxa"/>
            <w:tcBorders>
              <w:top w:val="single" w:sz="4" w:space="0" w:color="auto"/>
            </w:tcBorders>
          </w:tcPr>
          <w:p w:rsidR="00B60EB5" w:rsidRPr="00C0076E" w:rsidRDefault="00B60EB5" w:rsidP="00B60EB5">
            <w:pPr>
              <w:spacing w:after="0" w:line="240" w:lineRule="auto"/>
              <w:jc w:val="both"/>
              <w:rPr>
                <w:sz w:val="24"/>
                <w:szCs w:val="24"/>
              </w:rPr>
            </w:pPr>
            <w:r w:rsidRPr="00C0076E">
              <w:rPr>
                <w:sz w:val="24"/>
                <w:szCs w:val="24"/>
              </w:rPr>
              <w:t>Задоволення базової потреби у автономії</w:t>
            </w:r>
          </w:p>
        </w:tc>
      </w:tr>
      <w:tr w:rsidR="00B60EB5" w:rsidRPr="003815E7" w:rsidTr="00C07F42">
        <w:trPr>
          <w:cantSplit/>
          <w:trHeight w:val="1123"/>
        </w:trPr>
        <w:tc>
          <w:tcPr>
            <w:tcW w:w="3047" w:type="dxa"/>
          </w:tcPr>
          <w:p w:rsidR="00B60EB5" w:rsidRPr="00C0076E" w:rsidRDefault="00B60EB5" w:rsidP="00B60EB5">
            <w:pPr>
              <w:spacing w:after="0" w:line="240" w:lineRule="auto"/>
              <w:jc w:val="both"/>
              <w:rPr>
                <w:sz w:val="24"/>
                <w:szCs w:val="24"/>
              </w:rPr>
            </w:pPr>
            <w:r w:rsidRPr="00C0076E">
              <w:rPr>
                <w:sz w:val="24"/>
                <w:szCs w:val="24"/>
              </w:rPr>
              <w:t>Відчуття компетентності</w:t>
            </w:r>
          </w:p>
        </w:tc>
        <w:tc>
          <w:tcPr>
            <w:tcW w:w="3327" w:type="dxa"/>
          </w:tcPr>
          <w:p w:rsidR="00B60EB5" w:rsidRPr="00C0076E" w:rsidRDefault="00B60EB5" w:rsidP="00B60EB5">
            <w:pPr>
              <w:spacing w:after="0" w:line="240" w:lineRule="auto"/>
              <w:jc w:val="both"/>
              <w:rPr>
                <w:sz w:val="24"/>
                <w:szCs w:val="24"/>
              </w:rPr>
            </w:pPr>
            <w:r w:rsidRPr="00C0076E">
              <w:rPr>
                <w:sz w:val="24"/>
                <w:szCs w:val="24"/>
              </w:rPr>
              <w:t>Спортсмен відчуває, що поступово вдосконалює техніку та здатний успішно виконувати складні елементи</w:t>
            </w:r>
          </w:p>
        </w:tc>
        <w:tc>
          <w:tcPr>
            <w:tcW w:w="3263" w:type="dxa"/>
          </w:tcPr>
          <w:p w:rsidR="00B60EB5" w:rsidRPr="00C0076E" w:rsidRDefault="00B60EB5" w:rsidP="00B60EB5">
            <w:pPr>
              <w:spacing w:after="0" w:line="240" w:lineRule="auto"/>
              <w:jc w:val="both"/>
              <w:rPr>
                <w:sz w:val="24"/>
                <w:szCs w:val="24"/>
              </w:rPr>
            </w:pPr>
            <w:r w:rsidRPr="00C0076E">
              <w:rPr>
                <w:sz w:val="24"/>
                <w:szCs w:val="24"/>
              </w:rPr>
              <w:t>Задоволення базової потреби у компетентності</w:t>
            </w:r>
          </w:p>
        </w:tc>
      </w:tr>
      <w:tr w:rsidR="00B60EB5" w:rsidRPr="003815E7" w:rsidTr="00C07F42">
        <w:trPr>
          <w:cantSplit/>
          <w:trHeight w:val="571"/>
        </w:trPr>
        <w:tc>
          <w:tcPr>
            <w:tcW w:w="3047" w:type="dxa"/>
          </w:tcPr>
          <w:p w:rsidR="00B60EB5" w:rsidRPr="00C0076E" w:rsidRDefault="00B60EB5" w:rsidP="00B60EB5">
            <w:pPr>
              <w:spacing w:after="0" w:line="240" w:lineRule="auto"/>
              <w:jc w:val="both"/>
              <w:rPr>
                <w:sz w:val="24"/>
                <w:szCs w:val="24"/>
              </w:rPr>
            </w:pPr>
            <w:r w:rsidRPr="00C0076E">
              <w:rPr>
                <w:sz w:val="24"/>
                <w:szCs w:val="24"/>
              </w:rPr>
              <w:t>Відчуття пов</w:t>
            </w:r>
            <w:r w:rsidRPr="00C0076E">
              <w:rPr>
                <w:sz w:val="24"/>
                <w:szCs w:val="24"/>
                <w:lang w:val="en-US"/>
              </w:rPr>
              <w:t>’</w:t>
            </w:r>
            <w:r w:rsidRPr="00C0076E">
              <w:rPr>
                <w:sz w:val="24"/>
                <w:szCs w:val="24"/>
              </w:rPr>
              <w:t>язаності</w:t>
            </w:r>
          </w:p>
        </w:tc>
        <w:tc>
          <w:tcPr>
            <w:tcW w:w="3327" w:type="dxa"/>
          </w:tcPr>
          <w:p w:rsidR="00B60EB5" w:rsidRPr="00C0076E" w:rsidRDefault="00B60EB5" w:rsidP="00B60EB5">
            <w:pPr>
              <w:spacing w:after="0" w:line="240" w:lineRule="auto"/>
              <w:jc w:val="both"/>
              <w:rPr>
                <w:sz w:val="24"/>
                <w:szCs w:val="24"/>
              </w:rPr>
            </w:pPr>
            <w:r w:rsidRPr="00C0076E">
              <w:rPr>
                <w:sz w:val="24"/>
                <w:szCs w:val="24"/>
              </w:rPr>
              <w:t>Спортсмен відчуває підтримку з боку тренера та команди</w:t>
            </w:r>
          </w:p>
        </w:tc>
        <w:tc>
          <w:tcPr>
            <w:tcW w:w="3263" w:type="dxa"/>
          </w:tcPr>
          <w:p w:rsidR="00B60EB5" w:rsidRPr="00C0076E" w:rsidRDefault="00B60EB5" w:rsidP="00B60EB5">
            <w:pPr>
              <w:spacing w:after="0" w:line="240" w:lineRule="auto"/>
              <w:jc w:val="both"/>
              <w:rPr>
                <w:sz w:val="24"/>
                <w:szCs w:val="24"/>
              </w:rPr>
            </w:pPr>
            <w:r w:rsidRPr="00C0076E">
              <w:rPr>
                <w:sz w:val="24"/>
                <w:szCs w:val="24"/>
              </w:rPr>
              <w:t>Задоволення базової потреби у пов</w:t>
            </w:r>
            <w:r w:rsidRPr="00C0076E">
              <w:rPr>
                <w:sz w:val="24"/>
                <w:szCs w:val="24"/>
                <w:lang w:val="ru-RU"/>
              </w:rPr>
              <w:t>’</w:t>
            </w:r>
            <w:r w:rsidRPr="00C0076E">
              <w:rPr>
                <w:sz w:val="24"/>
                <w:szCs w:val="24"/>
              </w:rPr>
              <w:t>язаності</w:t>
            </w:r>
          </w:p>
        </w:tc>
      </w:tr>
      <w:tr w:rsidR="00B60EB5" w:rsidRPr="003815E7" w:rsidTr="00C07F42">
        <w:trPr>
          <w:cantSplit/>
          <w:trHeight w:val="994"/>
        </w:trPr>
        <w:tc>
          <w:tcPr>
            <w:tcW w:w="3047" w:type="dxa"/>
          </w:tcPr>
          <w:p w:rsidR="00B60EB5" w:rsidRPr="00C0076E" w:rsidRDefault="00B60EB5" w:rsidP="00B60EB5">
            <w:pPr>
              <w:spacing w:after="0" w:line="240" w:lineRule="auto"/>
              <w:jc w:val="both"/>
              <w:rPr>
                <w:sz w:val="24"/>
                <w:szCs w:val="24"/>
              </w:rPr>
            </w:pPr>
            <w:r w:rsidRPr="00C0076E">
              <w:rPr>
                <w:sz w:val="24"/>
                <w:szCs w:val="24"/>
              </w:rPr>
              <w:t>Баланс складності завдання та навичок необхідних для його вирішення</w:t>
            </w:r>
          </w:p>
        </w:tc>
        <w:tc>
          <w:tcPr>
            <w:tcW w:w="3327" w:type="dxa"/>
          </w:tcPr>
          <w:p w:rsidR="00B60EB5" w:rsidRPr="00C0076E" w:rsidRDefault="00B60EB5" w:rsidP="00B60EB5">
            <w:pPr>
              <w:spacing w:after="0" w:line="240" w:lineRule="auto"/>
              <w:jc w:val="both"/>
              <w:rPr>
                <w:sz w:val="24"/>
                <w:szCs w:val="24"/>
              </w:rPr>
            </w:pPr>
            <w:r w:rsidRPr="00C0076E">
              <w:rPr>
                <w:sz w:val="24"/>
                <w:szCs w:val="24"/>
              </w:rPr>
              <w:t>Рівень складності вправи відповідає рівню підготовки спортсмена</w:t>
            </w:r>
          </w:p>
        </w:tc>
        <w:tc>
          <w:tcPr>
            <w:tcW w:w="3263" w:type="dxa"/>
          </w:tcPr>
          <w:p w:rsidR="00B60EB5" w:rsidRPr="00C0076E" w:rsidRDefault="00B60EB5" w:rsidP="00B60EB5">
            <w:pPr>
              <w:spacing w:after="0" w:line="240" w:lineRule="auto"/>
              <w:jc w:val="both"/>
              <w:rPr>
                <w:sz w:val="24"/>
                <w:szCs w:val="24"/>
              </w:rPr>
            </w:pPr>
            <w:r w:rsidRPr="00C0076E">
              <w:rPr>
                <w:sz w:val="24"/>
                <w:szCs w:val="24"/>
              </w:rPr>
              <w:t>Характеристика структури діяльності, що виступає передумовою виникнення стану потоку</w:t>
            </w:r>
          </w:p>
        </w:tc>
      </w:tr>
      <w:tr w:rsidR="00B60EB5" w:rsidRPr="003815E7" w:rsidTr="00C07F42">
        <w:trPr>
          <w:cantSplit/>
          <w:trHeight w:val="841"/>
        </w:trPr>
        <w:tc>
          <w:tcPr>
            <w:tcW w:w="3047" w:type="dxa"/>
          </w:tcPr>
          <w:p w:rsidR="00B60EB5" w:rsidRPr="00C0076E" w:rsidRDefault="00B60EB5" w:rsidP="00B60EB5">
            <w:pPr>
              <w:spacing w:after="0" w:line="240" w:lineRule="auto"/>
              <w:jc w:val="both"/>
              <w:rPr>
                <w:sz w:val="24"/>
                <w:szCs w:val="24"/>
              </w:rPr>
            </w:pPr>
            <w:r w:rsidRPr="00C0076E">
              <w:rPr>
                <w:sz w:val="24"/>
                <w:szCs w:val="24"/>
              </w:rPr>
              <w:t>Наявність чіткої та зрозумілої мети</w:t>
            </w:r>
          </w:p>
        </w:tc>
        <w:tc>
          <w:tcPr>
            <w:tcW w:w="3327" w:type="dxa"/>
          </w:tcPr>
          <w:p w:rsidR="00B60EB5" w:rsidRPr="00C0076E" w:rsidRDefault="00B60EB5" w:rsidP="00B60EB5">
            <w:pPr>
              <w:spacing w:after="0" w:line="240" w:lineRule="auto"/>
              <w:jc w:val="both"/>
              <w:rPr>
                <w:sz w:val="24"/>
                <w:szCs w:val="24"/>
              </w:rPr>
            </w:pPr>
            <w:r w:rsidRPr="00C0076E">
              <w:rPr>
                <w:sz w:val="24"/>
                <w:szCs w:val="24"/>
              </w:rPr>
              <w:t>Спортсмен чітко розуміє, яке завдання необхідно виконати під час тренування або гри</w:t>
            </w:r>
          </w:p>
        </w:tc>
        <w:tc>
          <w:tcPr>
            <w:tcW w:w="3263" w:type="dxa"/>
          </w:tcPr>
          <w:p w:rsidR="00B60EB5" w:rsidRPr="00C0076E" w:rsidRDefault="00B60EB5" w:rsidP="00B60EB5">
            <w:pPr>
              <w:spacing w:after="0" w:line="240" w:lineRule="auto"/>
              <w:jc w:val="both"/>
              <w:rPr>
                <w:sz w:val="24"/>
                <w:szCs w:val="24"/>
              </w:rPr>
            </w:pPr>
            <w:r w:rsidRPr="00C0076E">
              <w:rPr>
                <w:sz w:val="24"/>
                <w:szCs w:val="24"/>
              </w:rPr>
              <w:t>Умова організації діяльності, що сприяє виникненню стану потоку та підтримує залученість</w:t>
            </w:r>
          </w:p>
        </w:tc>
      </w:tr>
      <w:tr w:rsidR="00B60EB5" w:rsidRPr="003815E7" w:rsidTr="00C07F42">
        <w:trPr>
          <w:cantSplit/>
          <w:trHeight w:val="927"/>
        </w:trPr>
        <w:tc>
          <w:tcPr>
            <w:tcW w:w="3047" w:type="dxa"/>
          </w:tcPr>
          <w:p w:rsidR="00B60EB5" w:rsidRPr="00C0076E" w:rsidRDefault="00B60EB5" w:rsidP="00B60EB5">
            <w:pPr>
              <w:spacing w:after="0" w:line="240" w:lineRule="auto"/>
              <w:jc w:val="both"/>
              <w:rPr>
                <w:sz w:val="24"/>
                <w:szCs w:val="24"/>
              </w:rPr>
            </w:pPr>
            <w:r w:rsidRPr="00C0076E">
              <w:rPr>
                <w:sz w:val="24"/>
                <w:szCs w:val="24"/>
              </w:rPr>
              <w:t>Миттєвий та зрозумілий зворотній зв’язок щодо виконання завдання</w:t>
            </w:r>
          </w:p>
        </w:tc>
        <w:tc>
          <w:tcPr>
            <w:tcW w:w="3327" w:type="dxa"/>
          </w:tcPr>
          <w:p w:rsidR="00B60EB5" w:rsidRPr="00C0076E" w:rsidRDefault="00B60EB5" w:rsidP="00B60EB5">
            <w:pPr>
              <w:spacing w:after="0" w:line="240" w:lineRule="auto"/>
              <w:jc w:val="both"/>
              <w:rPr>
                <w:sz w:val="24"/>
                <w:szCs w:val="24"/>
              </w:rPr>
            </w:pPr>
            <w:r w:rsidRPr="00C0076E">
              <w:rPr>
                <w:sz w:val="24"/>
                <w:szCs w:val="24"/>
              </w:rPr>
              <w:t>Спортсмен одразу бачить результат своєї дії (точність удару, швидкість виконання тощо)</w:t>
            </w:r>
          </w:p>
        </w:tc>
        <w:tc>
          <w:tcPr>
            <w:tcW w:w="3263" w:type="dxa"/>
          </w:tcPr>
          <w:p w:rsidR="00B60EB5" w:rsidRPr="00C0076E" w:rsidRDefault="00B60EB5" w:rsidP="00B60EB5">
            <w:pPr>
              <w:spacing w:after="0" w:line="240" w:lineRule="auto"/>
              <w:jc w:val="both"/>
              <w:rPr>
                <w:sz w:val="24"/>
                <w:szCs w:val="24"/>
              </w:rPr>
            </w:pPr>
            <w:r w:rsidRPr="00C0076E">
              <w:rPr>
                <w:sz w:val="24"/>
                <w:szCs w:val="24"/>
              </w:rPr>
              <w:t>Умова регуляції діяльності, що забезпечує підтримання стану потоку та мотиваційної активності</w:t>
            </w:r>
          </w:p>
        </w:tc>
      </w:tr>
      <w:tr w:rsidR="00B60EB5" w:rsidRPr="003815E7" w:rsidTr="00C07F42">
        <w:trPr>
          <w:cantSplit/>
          <w:trHeight w:val="593"/>
        </w:trPr>
        <w:tc>
          <w:tcPr>
            <w:tcW w:w="3047" w:type="dxa"/>
          </w:tcPr>
          <w:p w:rsidR="00B60EB5" w:rsidRPr="00C0076E" w:rsidRDefault="00B60EB5" w:rsidP="00B60EB5">
            <w:pPr>
              <w:spacing w:after="0" w:line="240" w:lineRule="auto"/>
              <w:jc w:val="both"/>
              <w:rPr>
                <w:sz w:val="24"/>
                <w:szCs w:val="24"/>
              </w:rPr>
            </w:pPr>
            <w:r w:rsidRPr="00C0076E">
              <w:rPr>
                <w:sz w:val="24"/>
                <w:szCs w:val="24"/>
              </w:rPr>
              <w:t>Інтерес до завдання</w:t>
            </w:r>
          </w:p>
        </w:tc>
        <w:tc>
          <w:tcPr>
            <w:tcW w:w="3327" w:type="dxa"/>
          </w:tcPr>
          <w:p w:rsidR="00B60EB5" w:rsidRPr="00C0076E" w:rsidRDefault="00B60EB5" w:rsidP="00B60EB5">
            <w:pPr>
              <w:spacing w:after="0" w:line="240" w:lineRule="auto"/>
              <w:jc w:val="both"/>
              <w:rPr>
                <w:sz w:val="24"/>
                <w:szCs w:val="24"/>
              </w:rPr>
            </w:pPr>
            <w:r w:rsidRPr="00C0076E">
              <w:rPr>
                <w:sz w:val="24"/>
                <w:szCs w:val="24"/>
              </w:rPr>
              <w:t>Спортсмену цікаво освоювати нові технічні елементи або тактичні рішення</w:t>
            </w:r>
          </w:p>
        </w:tc>
        <w:tc>
          <w:tcPr>
            <w:tcW w:w="3263" w:type="dxa"/>
          </w:tcPr>
          <w:p w:rsidR="00B60EB5" w:rsidRPr="00C0076E" w:rsidRDefault="00B60EB5" w:rsidP="00B60EB5">
            <w:pPr>
              <w:spacing w:after="0" w:line="240" w:lineRule="auto"/>
              <w:jc w:val="both"/>
              <w:rPr>
                <w:sz w:val="24"/>
                <w:szCs w:val="24"/>
              </w:rPr>
            </w:pPr>
            <w:r w:rsidRPr="00C0076E">
              <w:rPr>
                <w:sz w:val="24"/>
                <w:szCs w:val="24"/>
              </w:rPr>
              <w:t>Чинник актуалізації внутрішньої мотивації</w:t>
            </w:r>
          </w:p>
        </w:tc>
      </w:tr>
    </w:tbl>
    <w:p w:rsidR="00B60EB5" w:rsidRPr="00C0076E" w:rsidRDefault="00B60EB5" w:rsidP="00B60EB5">
      <w:pPr>
        <w:spacing w:after="0" w:line="240" w:lineRule="auto"/>
        <w:ind w:firstLine="709"/>
        <w:jc w:val="both"/>
        <w:rPr>
          <w:sz w:val="24"/>
          <w:szCs w:val="24"/>
          <w:lang w:val="en-US"/>
        </w:rPr>
      </w:pPr>
    </w:p>
    <w:p w:rsidR="00B60EB5" w:rsidRPr="00C0076E" w:rsidRDefault="00B60EB5" w:rsidP="00B60EB5">
      <w:pPr>
        <w:spacing w:after="0" w:line="240" w:lineRule="auto"/>
        <w:ind w:firstLine="709"/>
        <w:jc w:val="both"/>
        <w:rPr>
          <w:sz w:val="24"/>
          <w:szCs w:val="24"/>
        </w:rPr>
      </w:pPr>
      <w:r w:rsidRPr="00C0076E">
        <w:rPr>
          <w:sz w:val="24"/>
          <w:szCs w:val="24"/>
        </w:rPr>
        <w:t xml:space="preserve">Для кращого розуміння слід поєднувати ідеї теорії потоку з іншими теоріями мотивації – зокрема, з теорією самодетермінації, щоб врахувати ширший спектр психологічних чинників. Теорія самодетермінації (SDT) дозволяє описати, яким має </w:t>
      </w:r>
      <w:r w:rsidRPr="00C0076E">
        <w:rPr>
          <w:sz w:val="24"/>
          <w:szCs w:val="24"/>
        </w:rPr>
        <w:lastRenderedPageBreak/>
        <w:t>бути соціально-психологічне середовище, щоб внутрішня мотивація могла виникнути і підтримуватися – зокрема, середовище, що задовольняє потреби в автономії, компетентності та пов’язаності. У свою чергу, теорія потоку доповнює це розуміння, показуючи, що характер самої діяльності також має значення: завдання повинно бути достатньо складним, але здійсненним, містити чіткі цілі та забезпечувати негайний зворотний зв’язок – лише тоді воно буде захоплювати спортсмена та викликати глибоке мотиваційне залучення [36]. SDT формує підґрунтя внутрішньої мотивації, а теорія потоку уточнює параметри діяльності, здатної викликати цей стан.</w:t>
      </w:r>
    </w:p>
    <w:p w:rsidR="00B60EB5" w:rsidRPr="00C0076E" w:rsidRDefault="00B60EB5" w:rsidP="00B60EB5">
      <w:pPr>
        <w:spacing w:after="0" w:line="240" w:lineRule="auto"/>
        <w:ind w:firstLine="709"/>
        <w:jc w:val="both"/>
        <w:rPr>
          <w:sz w:val="24"/>
          <w:szCs w:val="24"/>
        </w:rPr>
      </w:pPr>
      <w:r w:rsidRPr="00C0076E">
        <w:rPr>
          <w:sz w:val="24"/>
          <w:szCs w:val="24"/>
        </w:rPr>
        <w:t xml:space="preserve">Аналіз представлених у </w:t>
      </w:r>
      <w:r w:rsidRPr="00C0076E">
        <w:rPr>
          <w:sz w:val="24"/>
          <w:szCs w:val="24"/>
          <w:lang w:val="ru-RU"/>
        </w:rPr>
        <w:t>т</w:t>
      </w:r>
      <w:r w:rsidRPr="00C0076E">
        <w:rPr>
          <w:sz w:val="24"/>
          <w:szCs w:val="24"/>
        </w:rPr>
        <w:t>абл</w:t>
      </w:r>
      <w:r w:rsidRPr="00C0076E">
        <w:rPr>
          <w:sz w:val="24"/>
          <w:szCs w:val="24"/>
          <w:lang w:val="ru-RU"/>
        </w:rPr>
        <w:t>. 1</w:t>
      </w:r>
      <w:r w:rsidRPr="00C0076E">
        <w:rPr>
          <w:sz w:val="24"/>
          <w:szCs w:val="24"/>
        </w:rPr>
        <w:t xml:space="preserve"> компонентів свідчить, що внутрішня мотивація формується на перетині двох ключових груп чинників. Перша група охоплює чинники, пов’язані із задоволенням базових психологічних потреб (автономії, компетентності та пов’язаності), що забезпечує внутрішнє прийняття діяльності та її особистісну значущість для спортсмена. Друга група представлена структурними характеристиками діяльності (баланс складності та навичок, чіткість цілей, наявність зворотного зв’язку), які визначають умови її ефективного виконання та впливають на якість суб’єктивного досвіду діяльності.</w:t>
      </w:r>
    </w:p>
    <w:p w:rsidR="00B60EB5" w:rsidRPr="00C0076E" w:rsidRDefault="00B60EB5" w:rsidP="00B60EB5">
      <w:pPr>
        <w:spacing w:after="0" w:line="240" w:lineRule="auto"/>
        <w:ind w:firstLine="709"/>
        <w:jc w:val="both"/>
        <w:rPr>
          <w:sz w:val="24"/>
          <w:szCs w:val="24"/>
        </w:rPr>
      </w:pPr>
      <w:r w:rsidRPr="00C0076E">
        <w:rPr>
          <w:sz w:val="24"/>
          <w:szCs w:val="24"/>
        </w:rPr>
        <w:t>Водночас важливо підкреслити, що зазначені чинники виконують різні функції у структурі мотиваційного процесу: якщо задоволення базових психологічних потреб виступає передумовою виникнення внутрішньої мотивації, то оптимальна організація та регуляція діяльності забезпечує її актуалізацію та підтримку в конкретних ситуаціях. У цьому контексті наявність інтересу до діяльності може розглядатися як інтегративний показник, що відображає узгодженість задоволення базових психологічних потреб і структурних характеристик діяльності.</w:t>
      </w:r>
    </w:p>
    <w:p w:rsidR="00B60EB5" w:rsidRPr="00C0076E" w:rsidRDefault="00B60EB5" w:rsidP="00B60EB5">
      <w:pPr>
        <w:spacing w:after="0" w:line="240" w:lineRule="auto"/>
        <w:ind w:firstLine="709"/>
        <w:jc w:val="both"/>
        <w:rPr>
          <w:sz w:val="24"/>
          <w:szCs w:val="24"/>
        </w:rPr>
      </w:pPr>
      <w:r w:rsidRPr="00C0076E">
        <w:rPr>
          <w:sz w:val="24"/>
          <w:szCs w:val="24"/>
        </w:rPr>
        <w:t>Переживання внутрішньої мотивації має низку характерних ознак – таких як залученість, інтерес, автотелічність, задоволення, втрата відчуття часу та бажання продовжувати активність. Саме ці суб’єктивні стани сигналізують про наявність внутрішньої мотивації у дії. Водночас, підтримка зазначених чинників є критично важливою, адже саме вони забезпечують стійке мотиваційне залучення спортсмена, сприяють психологічному благополуччю та знижують ризик вигоряння, особливо в умовах тривалого навантаження та змагального тиску.</w:t>
      </w:r>
    </w:p>
    <w:p w:rsidR="00B60EB5" w:rsidRPr="00C0076E" w:rsidRDefault="00B60EB5" w:rsidP="00B60EB5">
      <w:pPr>
        <w:spacing w:after="0" w:line="240" w:lineRule="auto"/>
        <w:ind w:firstLine="709"/>
        <w:jc w:val="both"/>
        <w:rPr>
          <w:sz w:val="24"/>
          <w:szCs w:val="24"/>
        </w:rPr>
      </w:pPr>
      <w:r w:rsidRPr="00C0076E">
        <w:rPr>
          <w:sz w:val="24"/>
          <w:szCs w:val="24"/>
        </w:rPr>
        <w:t>Як було показано у табл</w:t>
      </w:r>
      <w:r w:rsidRPr="00C0076E">
        <w:rPr>
          <w:sz w:val="24"/>
          <w:szCs w:val="24"/>
          <w:lang w:val="ru-RU"/>
        </w:rPr>
        <w:t>.</w:t>
      </w:r>
      <w:r w:rsidRPr="00C0076E">
        <w:rPr>
          <w:sz w:val="24"/>
          <w:szCs w:val="24"/>
          <w:lang w:val="en-US"/>
        </w:rPr>
        <w:t> </w:t>
      </w:r>
      <w:r w:rsidRPr="00C0076E">
        <w:rPr>
          <w:sz w:val="24"/>
          <w:szCs w:val="24"/>
        </w:rPr>
        <w:t>1, внутрішня мотивація виникає за умови задоволення базових психологічних потреб та відповідного структурного налаштування самої діяльності. Проте, для повного розуміння феномену внутрішньої мотивації у спортивному контексті необхідно враховувати не лише умови її виникнення, а й специфіку її переживання спортсменом у процесі діяльності.</w:t>
      </w:r>
    </w:p>
    <w:p w:rsidR="00B60EB5" w:rsidRDefault="00B60EB5" w:rsidP="00B60EB5">
      <w:pPr>
        <w:spacing w:after="0" w:line="240" w:lineRule="auto"/>
        <w:ind w:firstLine="709"/>
        <w:jc w:val="both"/>
        <w:rPr>
          <w:sz w:val="24"/>
          <w:szCs w:val="24"/>
        </w:rPr>
      </w:pPr>
      <w:r w:rsidRPr="00C0076E">
        <w:rPr>
          <w:sz w:val="24"/>
          <w:szCs w:val="24"/>
        </w:rPr>
        <w:t>У табл</w:t>
      </w:r>
      <w:r w:rsidRPr="00C0076E">
        <w:rPr>
          <w:sz w:val="24"/>
          <w:szCs w:val="24"/>
          <w:lang w:val="ru-RU"/>
        </w:rPr>
        <w:t>.</w:t>
      </w:r>
      <w:r w:rsidRPr="00C0076E">
        <w:rPr>
          <w:sz w:val="24"/>
          <w:szCs w:val="24"/>
        </w:rPr>
        <w:t xml:space="preserve"> 2 систематизовано ключові прояви внутрішньої мотивації, доповнені прикладами із практики спортивної діяльності.</w:t>
      </w:r>
    </w:p>
    <w:p w:rsidR="00B60EB5" w:rsidRPr="00C0076E" w:rsidRDefault="00B60EB5" w:rsidP="00B60EB5">
      <w:pPr>
        <w:spacing w:after="0" w:line="240" w:lineRule="auto"/>
        <w:ind w:firstLine="709"/>
        <w:jc w:val="both"/>
        <w:rPr>
          <w:sz w:val="24"/>
          <w:szCs w:val="24"/>
        </w:rPr>
      </w:pPr>
      <w:r w:rsidRPr="00C0076E">
        <w:rPr>
          <w:sz w:val="24"/>
          <w:szCs w:val="24"/>
        </w:rPr>
        <w:t>Представлені у табл.</w:t>
      </w:r>
      <w:r w:rsidRPr="00C0076E">
        <w:rPr>
          <w:sz w:val="24"/>
          <w:szCs w:val="24"/>
          <w:lang w:val="en-US"/>
        </w:rPr>
        <w:t> </w:t>
      </w:r>
      <w:r w:rsidRPr="00C0076E">
        <w:rPr>
          <w:sz w:val="24"/>
          <w:szCs w:val="24"/>
        </w:rPr>
        <w:t>2 характеристики дозволяють розглядати внутрішню мотивацію не лише як систему умов її виникнення, але і як специфічний суб’єктивний досвід діяльності, що супроводжує її реалізацію у спортивному контексті.</w:t>
      </w:r>
    </w:p>
    <w:p w:rsidR="00B60EB5" w:rsidRPr="00C0076E" w:rsidRDefault="00B60EB5" w:rsidP="00B60EB5">
      <w:pPr>
        <w:spacing w:after="0" w:line="240" w:lineRule="auto"/>
        <w:ind w:firstLine="709"/>
        <w:jc w:val="both"/>
        <w:rPr>
          <w:sz w:val="24"/>
          <w:szCs w:val="24"/>
        </w:rPr>
      </w:pPr>
      <w:r w:rsidRPr="00C0076E">
        <w:rPr>
          <w:sz w:val="24"/>
          <w:szCs w:val="24"/>
        </w:rPr>
        <w:t>Узагальнення наведених проявів свідчить про їхню змістовну спорідненість із характеристиками стану потоку та підкреслює феноменологічний аспект внутрішньо мотивованої діяльності.</w:t>
      </w:r>
    </w:p>
    <w:p w:rsidR="00B60EB5" w:rsidRPr="00C0076E" w:rsidRDefault="00B60EB5" w:rsidP="00B60EB5">
      <w:pPr>
        <w:spacing w:after="0" w:line="240" w:lineRule="auto"/>
        <w:ind w:firstLine="709"/>
        <w:jc w:val="both"/>
        <w:rPr>
          <w:sz w:val="24"/>
          <w:szCs w:val="24"/>
        </w:rPr>
      </w:pPr>
      <w:r w:rsidRPr="00C0076E">
        <w:rPr>
          <w:sz w:val="24"/>
          <w:szCs w:val="24"/>
        </w:rPr>
        <w:t>Аналіз зазначених характеристик дозволяє виділити кілька функціональних груп проявів. Зокрема, такі ознаки як глибока залученість, злиття дії та свідомості, втрата відчуття часу та зниження рефлексивної самосвідомості відображають особливості регуляції уваги та свідомості у процесі діяльності. Вони свідчать про повне занурення спортсмена у виконання завдання та мінімізацію впливу зовнішніх і внутрішніх відволікаючих чинників.</w:t>
      </w:r>
    </w:p>
    <w:p w:rsidR="00B60EB5" w:rsidRPr="00C0076E" w:rsidRDefault="00B60EB5" w:rsidP="00B60EB5">
      <w:pPr>
        <w:spacing w:after="0" w:line="240" w:lineRule="auto"/>
        <w:ind w:firstLine="709"/>
        <w:jc w:val="both"/>
        <w:rPr>
          <w:sz w:val="24"/>
          <w:szCs w:val="24"/>
        </w:rPr>
      </w:pPr>
      <w:r w:rsidRPr="00C0076E">
        <w:rPr>
          <w:sz w:val="24"/>
          <w:szCs w:val="24"/>
        </w:rPr>
        <w:t xml:space="preserve">Інша група проявів (автотелічність діяльності, внутрішнє задоволення, бажання продовжувати активність) характеризує ціннісно-мотиваційний аспект діяльності та </w:t>
      </w:r>
      <w:r w:rsidRPr="00C0076E">
        <w:rPr>
          <w:sz w:val="24"/>
          <w:szCs w:val="24"/>
        </w:rPr>
        <w:lastRenderedPageBreak/>
        <w:t>відображає її переживання як внутрішньо значущої та самодостатньої. Саме ці характеристики можуть розглядатися як безпосередні індикатори внутрішньої мотивації у дії.</w:t>
      </w:r>
    </w:p>
    <w:p w:rsidR="00B60EB5" w:rsidRPr="00C0076E" w:rsidRDefault="00B60EB5" w:rsidP="00B60EB5">
      <w:pPr>
        <w:spacing w:after="0" w:line="240" w:lineRule="auto"/>
        <w:ind w:firstLine="709"/>
        <w:jc w:val="right"/>
        <w:rPr>
          <w:i/>
          <w:sz w:val="24"/>
          <w:szCs w:val="24"/>
          <w:lang w:val="ru-RU"/>
        </w:rPr>
      </w:pPr>
    </w:p>
    <w:p w:rsidR="00B60EB5" w:rsidRPr="00C0076E" w:rsidRDefault="00B60EB5" w:rsidP="00B60EB5">
      <w:pPr>
        <w:spacing w:after="0" w:line="240" w:lineRule="auto"/>
        <w:ind w:firstLine="709"/>
        <w:jc w:val="right"/>
        <w:rPr>
          <w:i/>
          <w:sz w:val="24"/>
          <w:szCs w:val="24"/>
        </w:rPr>
      </w:pPr>
      <w:r w:rsidRPr="00C0076E">
        <w:rPr>
          <w:i/>
          <w:sz w:val="24"/>
          <w:szCs w:val="24"/>
        </w:rPr>
        <w:t>Таблиця 2</w:t>
      </w:r>
    </w:p>
    <w:p w:rsidR="00B60EB5" w:rsidRPr="00C0076E" w:rsidRDefault="00B60EB5" w:rsidP="00B60EB5">
      <w:pPr>
        <w:spacing w:after="0" w:line="240" w:lineRule="auto"/>
        <w:ind w:firstLine="709"/>
        <w:jc w:val="center"/>
        <w:rPr>
          <w:b/>
          <w:bCs/>
          <w:sz w:val="24"/>
          <w:szCs w:val="24"/>
        </w:rPr>
      </w:pPr>
      <w:r w:rsidRPr="00C0076E">
        <w:rPr>
          <w:b/>
          <w:bCs/>
          <w:sz w:val="24"/>
          <w:szCs w:val="24"/>
        </w:rPr>
        <w:t>Характерні прояви переживання внутрішньої мотивації у спортивній діяльності</w:t>
      </w:r>
    </w:p>
    <w:tbl>
      <w:tblPr>
        <w:tblStyle w:val="a6"/>
        <w:tblW w:w="9351" w:type="dxa"/>
        <w:tblBorders>
          <w:insideH w:val="none" w:sz="0" w:space="0" w:color="auto"/>
          <w:insideV w:val="none" w:sz="0" w:space="0" w:color="auto"/>
        </w:tblBorders>
        <w:tblLook w:val="04A0" w:firstRow="1" w:lastRow="0" w:firstColumn="1" w:lastColumn="0" w:noHBand="0" w:noVBand="1"/>
      </w:tblPr>
      <w:tblGrid>
        <w:gridCol w:w="2263"/>
        <w:gridCol w:w="3828"/>
        <w:gridCol w:w="3260"/>
      </w:tblGrid>
      <w:tr w:rsidR="00B60EB5" w:rsidRPr="003815E7" w:rsidTr="00C07F42">
        <w:tc>
          <w:tcPr>
            <w:tcW w:w="2263" w:type="dxa"/>
            <w:tcBorders>
              <w:top w:val="single" w:sz="4" w:space="0" w:color="auto"/>
              <w:bottom w:val="single" w:sz="4" w:space="0" w:color="auto"/>
            </w:tcBorders>
            <w:vAlign w:val="center"/>
          </w:tcPr>
          <w:p w:rsidR="00B60EB5" w:rsidRPr="00C0076E" w:rsidRDefault="00B60EB5" w:rsidP="00577D33">
            <w:pPr>
              <w:spacing w:after="0" w:line="252" w:lineRule="auto"/>
              <w:jc w:val="center"/>
              <w:rPr>
                <w:sz w:val="24"/>
                <w:szCs w:val="24"/>
                <w:lang w:eastAsia="uk-UA"/>
              </w:rPr>
            </w:pPr>
            <w:r w:rsidRPr="00C0076E">
              <w:rPr>
                <w:sz w:val="24"/>
                <w:szCs w:val="24"/>
                <w:lang w:eastAsia="uk-UA"/>
              </w:rPr>
              <w:t>Прояв внутрішньої мотивації</w:t>
            </w:r>
          </w:p>
        </w:tc>
        <w:tc>
          <w:tcPr>
            <w:tcW w:w="3828" w:type="dxa"/>
            <w:tcBorders>
              <w:top w:val="single" w:sz="4" w:space="0" w:color="auto"/>
              <w:bottom w:val="single" w:sz="4" w:space="0" w:color="auto"/>
            </w:tcBorders>
            <w:vAlign w:val="center"/>
          </w:tcPr>
          <w:p w:rsidR="00B60EB5" w:rsidRPr="00C0076E" w:rsidRDefault="00B60EB5" w:rsidP="00577D33">
            <w:pPr>
              <w:spacing w:after="0" w:line="252" w:lineRule="auto"/>
              <w:jc w:val="center"/>
              <w:rPr>
                <w:sz w:val="24"/>
                <w:szCs w:val="24"/>
                <w:lang w:eastAsia="uk-UA"/>
              </w:rPr>
            </w:pPr>
            <w:r w:rsidRPr="00C0076E">
              <w:rPr>
                <w:sz w:val="24"/>
                <w:szCs w:val="24"/>
                <w:lang w:eastAsia="uk-UA"/>
              </w:rPr>
              <w:t>Психологічний зміст</w:t>
            </w:r>
          </w:p>
        </w:tc>
        <w:tc>
          <w:tcPr>
            <w:tcW w:w="3260" w:type="dxa"/>
            <w:tcBorders>
              <w:top w:val="single" w:sz="4" w:space="0" w:color="auto"/>
              <w:bottom w:val="single" w:sz="4" w:space="0" w:color="auto"/>
            </w:tcBorders>
            <w:vAlign w:val="center"/>
          </w:tcPr>
          <w:p w:rsidR="00B60EB5" w:rsidRPr="00C0076E" w:rsidRDefault="00B60EB5" w:rsidP="00577D33">
            <w:pPr>
              <w:spacing w:after="0" w:line="252" w:lineRule="auto"/>
              <w:jc w:val="center"/>
              <w:rPr>
                <w:sz w:val="24"/>
                <w:szCs w:val="24"/>
                <w:lang w:eastAsia="uk-UA"/>
              </w:rPr>
            </w:pPr>
            <w:r w:rsidRPr="00C0076E">
              <w:rPr>
                <w:sz w:val="24"/>
                <w:szCs w:val="24"/>
                <w:lang w:eastAsia="uk-UA"/>
              </w:rPr>
              <w:t>Приклад реалізаціїї у спортивній діяльності</w:t>
            </w:r>
          </w:p>
        </w:tc>
      </w:tr>
      <w:tr w:rsidR="00B60EB5" w:rsidRPr="003815E7" w:rsidTr="00C07F42">
        <w:tc>
          <w:tcPr>
            <w:tcW w:w="2263" w:type="dxa"/>
            <w:tcBorders>
              <w:top w:val="single" w:sz="4" w:space="0" w:color="auto"/>
            </w:tcBorders>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 xml:space="preserve">Автотелічність </w:t>
            </w:r>
          </w:p>
        </w:tc>
        <w:tc>
          <w:tcPr>
            <w:tcW w:w="3828" w:type="dxa"/>
            <w:tcBorders>
              <w:top w:val="single" w:sz="4" w:space="0" w:color="auto"/>
            </w:tcBorders>
          </w:tcPr>
          <w:p w:rsidR="00B60EB5" w:rsidRPr="00C0076E" w:rsidRDefault="00B60EB5" w:rsidP="00577D33">
            <w:pPr>
              <w:spacing w:after="0" w:line="252" w:lineRule="auto"/>
              <w:jc w:val="both"/>
              <w:rPr>
                <w:sz w:val="24"/>
                <w:szCs w:val="24"/>
                <w:lang w:eastAsia="uk-UA"/>
              </w:rPr>
            </w:pPr>
            <w:r w:rsidRPr="00C0076E">
              <w:rPr>
                <w:sz w:val="24"/>
                <w:szCs w:val="24"/>
                <w:lang w:eastAsia="uk-UA"/>
              </w:rPr>
              <w:t>Наявність внутрішньої цінності діяльності незалежно від зовнішніх результатів</w:t>
            </w:r>
          </w:p>
        </w:tc>
        <w:tc>
          <w:tcPr>
            <w:tcW w:w="3260" w:type="dxa"/>
            <w:tcBorders>
              <w:top w:val="single" w:sz="4" w:space="0" w:color="auto"/>
            </w:tcBorders>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Спортсмен тренується не лише заради результату, а тому що сам процес приносить задоволення</w:t>
            </w:r>
          </w:p>
        </w:tc>
      </w:tr>
      <w:tr w:rsidR="00B60EB5" w:rsidRPr="003815E7" w:rsidTr="00C07F42">
        <w:tc>
          <w:tcPr>
            <w:tcW w:w="2263"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Злиття дії та свідомості</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Відображає автоматизованість діяльності та її внутрішню регуляцію</w:t>
            </w:r>
          </w:p>
        </w:tc>
        <w:tc>
          <w:tcPr>
            <w:tcW w:w="3260"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Спортсмен настільки занурений у виконання дії, що рухи виконуються автоматично, без постійного свідомого контролю.</w:t>
            </w:r>
          </w:p>
        </w:tc>
      </w:tr>
      <w:tr w:rsidR="00B60EB5" w:rsidRPr="003815E7" w:rsidTr="00C07F42">
        <w:tc>
          <w:tcPr>
            <w:tcW w:w="2263"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Зниження рефлексивної самосвідомості</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Відображає зниження впливу зовнішньої оцінки та повну зосередженість на процесі діяльності</w:t>
            </w:r>
          </w:p>
        </w:tc>
        <w:tc>
          <w:tcPr>
            <w:tcW w:w="3260"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Під час виконання діяльності спортсмен перестає думати про зовнішню оцінку або можливі помилки і повністю зосереджується на процесі.</w:t>
            </w:r>
          </w:p>
        </w:tc>
      </w:tr>
      <w:tr w:rsidR="00B60EB5" w:rsidRPr="003815E7" w:rsidTr="00C07F42">
        <w:tc>
          <w:tcPr>
            <w:tcW w:w="2263"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Глибока залученість та концентрація</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Характеризується повною зосередженістю уваги на діяльності та відсутністю відволікань</w:t>
            </w:r>
          </w:p>
        </w:tc>
        <w:tc>
          <w:tcPr>
            <w:tcW w:w="3260"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Повне занурення у виконання вправи, втрата уваги до сторонніх подразників</w:t>
            </w:r>
          </w:p>
        </w:tc>
      </w:tr>
      <w:tr w:rsidR="00B60EB5" w:rsidRPr="003815E7" w:rsidTr="00C07F42">
        <w:tc>
          <w:tcPr>
            <w:tcW w:w="2263"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Внутрішня радість та задоволення</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Наявність позитивного емоційного стану у процесі діяльності</w:t>
            </w:r>
          </w:p>
        </w:tc>
        <w:tc>
          <w:tcPr>
            <w:tcW w:w="3260"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Почуття радості після вправи, незалежно від зовнішніх нагород або визнання</w:t>
            </w:r>
          </w:p>
        </w:tc>
      </w:tr>
      <w:tr w:rsidR="00B60EB5" w:rsidRPr="003815E7" w:rsidTr="00C07F42">
        <w:tc>
          <w:tcPr>
            <w:tcW w:w="2263"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Втрата відчуття часу</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Спрямованість уваги виключно на виконання діяльності, що призводить до зниження контролю за плином часу</w:t>
            </w:r>
          </w:p>
        </w:tc>
        <w:tc>
          <w:tcPr>
            <w:tcW w:w="3260"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Спортсмен не помічає, як швидко минає тренування або змагання</w:t>
            </w:r>
          </w:p>
        </w:tc>
      </w:tr>
      <w:tr w:rsidR="00B60EB5" w:rsidRPr="003815E7" w:rsidTr="00C07F42">
        <w:tc>
          <w:tcPr>
            <w:tcW w:w="2263"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Відчуття контролю над виконанням дій</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Відображає впевненість у власній компетентності</w:t>
            </w:r>
          </w:p>
        </w:tc>
        <w:tc>
          <w:tcPr>
            <w:tcW w:w="3260"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Спортсмен впевнений у правильності своїх дій</w:t>
            </w:r>
          </w:p>
        </w:tc>
      </w:tr>
      <w:tr w:rsidR="00B60EB5" w:rsidRPr="003815E7" w:rsidTr="00C07F42">
        <w:tc>
          <w:tcPr>
            <w:tcW w:w="2263" w:type="dxa"/>
            <w:hideMark/>
          </w:tcPr>
          <w:p w:rsidR="00B60EB5" w:rsidRPr="00B60EB5" w:rsidRDefault="00B60EB5" w:rsidP="00577D33">
            <w:pPr>
              <w:spacing w:after="0" w:line="252" w:lineRule="auto"/>
              <w:jc w:val="both"/>
              <w:rPr>
                <w:sz w:val="24"/>
                <w:szCs w:val="24"/>
                <w:lang w:val="uk-UA" w:eastAsia="uk-UA"/>
              </w:rPr>
            </w:pPr>
            <w:r w:rsidRPr="00B60EB5">
              <w:rPr>
                <w:sz w:val="24"/>
                <w:szCs w:val="24"/>
                <w:lang w:val="uk-UA" w:eastAsia="uk-UA"/>
              </w:rPr>
              <w:t>Відчуття добровільності, відсутність зовнішнього тиску</w:t>
            </w:r>
          </w:p>
        </w:tc>
        <w:tc>
          <w:tcPr>
            <w:tcW w:w="3828" w:type="dxa"/>
          </w:tcPr>
          <w:p w:rsidR="00B60EB5" w:rsidRPr="00B60EB5" w:rsidRDefault="00B60EB5" w:rsidP="00577D33">
            <w:pPr>
              <w:spacing w:after="0" w:line="252" w:lineRule="auto"/>
              <w:jc w:val="both"/>
              <w:rPr>
                <w:sz w:val="24"/>
                <w:szCs w:val="24"/>
                <w:lang w:val="uk-UA" w:eastAsia="uk-UA"/>
              </w:rPr>
            </w:pPr>
            <w:r w:rsidRPr="00B60EB5">
              <w:rPr>
                <w:sz w:val="24"/>
                <w:szCs w:val="24"/>
                <w:lang w:val="uk-UA" w:eastAsia="uk-UA"/>
              </w:rPr>
              <w:t>Зумовлене автономністю діяльності та відсутністю зовнішнього примусу</w:t>
            </w:r>
          </w:p>
        </w:tc>
        <w:tc>
          <w:tcPr>
            <w:tcW w:w="3260"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Спортсмен діє з власної ініціативи, а не через тиск тренера або страх перед невдачею</w:t>
            </w:r>
          </w:p>
        </w:tc>
      </w:tr>
      <w:tr w:rsidR="00B60EB5" w:rsidRPr="003815E7" w:rsidTr="00C07F42">
        <w:trPr>
          <w:trHeight w:val="906"/>
        </w:trPr>
        <w:tc>
          <w:tcPr>
            <w:tcW w:w="2263"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Бажання продовжувати активність</w:t>
            </w:r>
          </w:p>
        </w:tc>
        <w:tc>
          <w:tcPr>
            <w:tcW w:w="3828" w:type="dxa"/>
          </w:tcPr>
          <w:p w:rsidR="00B60EB5" w:rsidRPr="00C0076E" w:rsidRDefault="00B60EB5" w:rsidP="00577D33">
            <w:pPr>
              <w:spacing w:after="0" w:line="252" w:lineRule="auto"/>
              <w:jc w:val="both"/>
              <w:rPr>
                <w:sz w:val="24"/>
                <w:szCs w:val="24"/>
                <w:lang w:eastAsia="uk-UA"/>
              </w:rPr>
            </w:pPr>
            <w:r w:rsidRPr="00C0076E">
              <w:rPr>
                <w:sz w:val="24"/>
                <w:szCs w:val="24"/>
                <w:lang w:eastAsia="uk-UA"/>
              </w:rPr>
              <w:t>Є результатом позитивного досвіду у діяльності та її внутрішньої значущості</w:t>
            </w:r>
          </w:p>
        </w:tc>
        <w:tc>
          <w:tcPr>
            <w:tcW w:w="3260" w:type="dxa"/>
            <w:hideMark/>
          </w:tcPr>
          <w:p w:rsidR="00B60EB5" w:rsidRPr="00C0076E" w:rsidRDefault="00B60EB5" w:rsidP="00577D33">
            <w:pPr>
              <w:spacing w:after="0" w:line="252" w:lineRule="auto"/>
              <w:jc w:val="both"/>
              <w:rPr>
                <w:sz w:val="24"/>
                <w:szCs w:val="24"/>
                <w:lang w:eastAsia="uk-UA"/>
              </w:rPr>
            </w:pPr>
            <w:r w:rsidRPr="00C0076E">
              <w:rPr>
                <w:sz w:val="24"/>
                <w:szCs w:val="24"/>
                <w:lang w:eastAsia="uk-UA"/>
              </w:rPr>
              <w:t>Прагнення подовжити тренування або очікування наступного спортивного заняття</w:t>
            </w:r>
          </w:p>
        </w:tc>
      </w:tr>
    </w:tbl>
    <w:p w:rsidR="00B60EB5" w:rsidRPr="00C0076E" w:rsidRDefault="00B60EB5" w:rsidP="00B60EB5">
      <w:pPr>
        <w:spacing w:after="0" w:line="240" w:lineRule="auto"/>
        <w:ind w:firstLine="709"/>
        <w:jc w:val="both"/>
        <w:rPr>
          <w:sz w:val="24"/>
          <w:szCs w:val="24"/>
          <w:lang w:val="ru-RU"/>
        </w:rPr>
      </w:pPr>
    </w:p>
    <w:p w:rsidR="00B60EB5" w:rsidRPr="00C0076E" w:rsidRDefault="00B60EB5" w:rsidP="00B60EB5">
      <w:pPr>
        <w:spacing w:after="0" w:line="240" w:lineRule="auto"/>
        <w:ind w:firstLine="709"/>
        <w:jc w:val="both"/>
        <w:rPr>
          <w:sz w:val="24"/>
          <w:szCs w:val="24"/>
        </w:rPr>
      </w:pPr>
      <w:r w:rsidRPr="00C0076E">
        <w:rPr>
          <w:sz w:val="24"/>
          <w:szCs w:val="24"/>
        </w:rPr>
        <w:t xml:space="preserve">Окрему групу становлять прояви, пов’язані з відчуттям контролю та добровільності діяльності, які відображають реалізацію базових психологічних потреб, </w:t>
      </w:r>
      <w:r w:rsidRPr="00C0076E">
        <w:rPr>
          <w:sz w:val="24"/>
          <w:szCs w:val="24"/>
        </w:rPr>
        <w:lastRenderedPageBreak/>
        <w:t>передусім автономії та компетентності. Це дозволяє простежити взаємозв’язок між потребово-мотиваційними чинниками та суб’єктивним досвідом діяльності.</w:t>
      </w:r>
    </w:p>
    <w:p w:rsidR="00B60EB5" w:rsidRPr="00C0076E" w:rsidRDefault="00B60EB5" w:rsidP="00B60EB5">
      <w:pPr>
        <w:spacing w:after="0" w:line="240" w:lineRule="auto"/>
        <w:ind w:firstLine="709"/>
        <w:jc w:val="both"/>
        <w:rPr>
          <w:sz w:val="24"/>
          <w:szCs w:val="24"/>
        </w:rPr>
      </w:pPr>
      <w:r>
        <w:rPr>
          <w:sz w:val="24"/>
          <w:szCs w:val="24"/>
        </w:rPr>
        <w:t>Н</w:t>
      </w:r>
      <w:r w:rsidRPr="00C0076E">
        <w:rPr>
          <w:sz w:val="24"/>
          <w:szCs w:val="24"/>
        </w:rPr>
        <w:t>аведені характеристики відображають не окремі ізольовані стани, а цілісну структуру суб’єктивного досвіду внутрішньо мотивованої діяльності. Це підтверджує, що внутрішня мотивація у спорті проявляється не лише через умови її формування, але й через специфічний якісний досвід діяльності, який виникає за умови узгодженості задоволення базових психологічних потреб та структурних характеристик діяльності.</w:t>
      </w:r>
    </w:p>
    <w:p w:rsidR="00B60EB5" w:rsidRPr="00C0076E" w:rsidRDefault="00B60EB5" w:rsidP="00B60EB5">
      <w:pPr>
        <w:spacing w:after="0" w:line="240" w:lineRule="auto"/>
        <w:ind w:firstLine="709"/>
        <w:jc w:val="both"/>
        <w:rPr>
          <w:sz w:val="24"/>
          <w:szCs w:val="24"/>
        </w:rPr>
      </w:pPr>
      <w:r w:rsidRPr="00C0076E">
        <w:rPr>
          <w:sz w:val="24"/>
          <w:szCs w:val="24"/>
        </w:rPr>
        <w:t>З одного боку, теорія самодетермінації пояснює психологічні умови виникнення внутрішньої мотивації, акцентуючи увагу на задоволенні базових потреб в автономії, компетентності та пов’язаності. З іншого боку, теорія потоку розкриває якісну форму переживання внутрішньо мотивованої діяльності, описуючи стан повної залученості та автотелічності, в якому сама діяльність набуває внутрішньої цінності.</w:t>
      </w:r>
    </w:p>
    <w:p w:rsidR="00B60EB5" w:rsidRPr="00C0076E" w:rsidRDefault="00B60EB5" w:rsidP="00B60EB5">
      <w:pPr>
        <w:spacing w:after="0" w:line="240" w:lineRule="auto"/>
        <w:ind w:firstLine="709"/>
        <w:jc w:val="both"/>
        <w:rPr>
          <w:sz w:val="24"/>
          <w:szCs w:val="24"/>
        </w:rPr>
      </w:pPr>
      <w:r w:rsidRPr="00C0076E">
        <w:rPr>
          <w:sz w:val="24"/>
          <w:szCs w:val="24"/>
        </w:rPr>
        <w:t>Водночас обидва підходи, попри їхню теоретичну значущість, залишають відкритим питання стійкості та динаміки внутрішньої мотивації у часі та різних контекстах діяльності. Зокрема, SDT зосереджується переважно на умовах підтримки мотивації, а теорія потоку – на ситуативному переживанні оптимального досвіду. Однак вони в меншій мірі пояснюють, як внутрішня мотивація формується та змінюється на різних рівнях функціонування особистості, яким чином ситуативні переживання трансформуються у відносно стабільну мотивацію до певної діяльності та як ця мотивація зберігається або послаблюється в довготривалій перспективі.</w:t>
      </w:r>
    </w:p>
    <w:p w:rsidR="00B60EB5" w:rsidRPr="00C0076E" w:rsidRDefault="00B60EB5" w:rsidP="00B60EB5">
      <w:pPr>
        <w:spacing w:after="0" w:line="240" w:lineRule="auto"/>
        <w:ind w:firstLine="709"/>
        <w:jc w:val="both"/>
        <w:rPr>
          <w:sz w:val="24"/>
          <w:szCs w:val="24"/>
        </w:rPr>
      </w:pPr>
      <w:r w:rsidRPr="00C0076E">
        <w:rPr>
          <w:sz w:val="24"/>
          <w:szCs w:val="24"/>
        </w:rPr>
        <w:t>На цьому підґрунті R.J.</w:t>
      </w:r>
      <w:r w:rsidRPr="00C0076E">
        <w:rPr>
          <w:sz w:val="24"/>
          <w:szCs w:val="24"/>
          <w:lang w:val="en-US"/>
        </w:rPr>
        <w:t> </w:t>
      </w:r>
      <w:r w:rsidRPr="00C0076E">
        <w:rPr>
          <w:sz w:val="24"/>
          <w:szCs w:val="24"/>
        </w:rPr>
        <w:t>Vallerand у своїй фундаментальній праці запропонував ієрархічну модель внутрішньої та зовнішньої мотивації (Hierarchical Model of Intrinsic and Extrinsic Motivation; HMEIM), яка організує мотиваційні явища не лише за типом регуляції, а й за рівнем узагальненості [7,37]. Це було відповіддю на практичну проблему мотиваційних досліджень: мотивація одночасно демонструє стабільність (спортсмен зазвичай такий у спорті) і варіативність (сьогоднішнє тренування може відчуватися зовсім інакше, ніж учора).</w:t>
      </w:r>
    </w:p>
    <w:p w:rsidR="00B60EB5" w:rsidRPr="00C0076E" w:rsidRDefault="00B60EB5" w:rsidP="00B60EB5">
      <w:pPr>
        <w:spacing w:after="0" w:line="240" w:lineRule="auto"/>
        <w:ind w:firstLine="709"/>
        <w:jc w:val="both"/>
        <w:rPr>
          <w:sz w:val="24"/>
          <w:szCs w:val="24"/>
        </w:rPr>
      </w:pPr>
      <w:r w:rsidRPr="00C0076E">
        <w:rPr>
          <w:sz w:val="24"/>
          <w:szCs w:val="24"/>
        </w:rPr>
        <w:t>У сучасних формулюваннях HMIEM [7] виділяють три рівні мотивації, розділяючи конкретні мотиваційні стани та тенденції. 1)</w:t>
      </w:r>
      <w:r w:rsidRPr="00C0076E">
        <w:rPr>
          <w:sz w:val="24"/>
          <w:szCs w:val="24"/>
          <w:lang w:val="en-US"/>
        </w:rPr>
        <w:t> </w:t>
      </w:r>
      <w:r w:rsidRPr="00C0076E">
        <w:rPr>
          <w:sz w:val="24"/>
          <w:szCs w:val="24"/>
        </w:rPr>
        <w:t>Глобальний рівень мотивації стосується загальних мотиваційних орієнтацій особистості, які стабільно проявляються у всіх сферах життя. Людина з високим рівнем глобальної внутрішньої мотивації буде схильна до пошуку задоволення і сенсу в будь-якій діяльності, від спорту до навчання. 2) Контекстуальний рівень мотивації стосується мотивації в певних життєвих контекстах або сферах які мають специфічний і пов’язаний набір видів діяльності. Наприклад, спортсмен може мати внутрішню мотивацію до занять спортом, але зовнішню мотивацію до навчання та амотивацію до встановлення взаємостосунків. 3) Ситуативний рівень мотивації стосується мотивації, яка виникає у конкретний момент. Наприклад спортсмен може відчувати внутрішню мотивацію під час виконання певної вправи на тренуванні, але ця мотивація може зникнути, якщо завдання зміниться або стане менш цікавим. Це найбільш мінливий рівень через високу чутливість до ситуативних факторів (успіх/невдача, тип завдання, комунікація тренера, контекст змагання).</w:t>
      </w:r>
    </w:p>
    <w:p w:rsidR="00B60EB5" w:rsidRPr="00C0076E" w:rsidRDefault="00B60EB5" w:rsidP="00B60EB5">
      <w:pPr>
        <w:spacing w:after="0" w:line="240" w:lineRule="auto"/>
        <w:ind w:firstLine="709"/>
        <w:jc w:val="both"/>
        <w:rPr>
          <w:sz w:val="24"/>
          <w:szCs w:val="24"/>
        </w:rPr>
      </w:pPr>
      <w:r w:rsidRPr="00C0076E">
        <w:rPr>
          <w:sz w:val="24"/>
          <w:szCs w:val="24"/>
        </w:rPr>
        <w:t>Одна з найбільш практично значущих ідей HMIEM – розведення рівнів мотивації як різних психологічних явищ. У спорті це питання особливо гостре: тренер, психолог або науковець може назвати спортсмена «внутрішньо мотивованим», але це може означати або стійку орієнтацію, або короткий оптимальний епізод.</w:t>
      </w:r>
    </w:p>
    <w:p w:rsidR="00B60EB5" w:rsidRPr="00C0076E" w:rsidRDefault="00B60EB5" w:rsidP="00B60EB5">
      <w:pPr>
        <w:spacing w:after="0" w:line="240" w:lineRule="auto"/>
        <w:ind w:firstLine="709"/>
        <w:jc w:val="both"/>
        <w:rPr>
          <w:sz w:val="24"/>
          <w:szCs w:val="24"/>
        </w:rPr>
      </w:pPr>
      <w:r w:rsidRPr="00C0076E">
        <w:rPr>
          <w:sz w:val="24"/>
          <w:szCs w:val="24"/>
        </w:rPr>
        <w:t>На ситуативному рівні внутрішня мотивація проявляється у переживанні діяльності як</w:t>
      </w:r>
      <w:r w:rsidRPr="00C0076E">
        <w:rPr>
          <w:sz w:val="24"/>
          <w:szCs w:val="24"/>
          <w:lang w:val="ru-RU"/>
        </w:rPr>
        <w:t xml:space="preserve"> </w:t>
      </w:r>
      <w:r w:rsidRPr="00C0076E">
        <w:rPr>
          <w:sz w:val="24"/>
          <w:szCs w:val="24"/>
        </w:rPr>
        <w:t>цікавої, приємної, само детермінованої</w:t>
      </w:r>
      <w:r w:rsidRPr="00C0076E">
        <w:rPr>
          <w:sz w:val="24"/>
          <w:szCs w:val="24"/>
          <w:lang w:val="ru-RU"/>
        </w:rPr>
        <w:t xml:space="preserve"> </w:t>
      </w:r>
      <w:r w:rsidRPr="00C0076E">
        <w:rPr>
          <w:sz w:val="24"/>
          <w:szCs w:val="24"/>
        </w:rPr>
        <w:t>в конкретний момент. Ключове, що її можна фіксувати як</w:t>
      </w:r>
      <w:r w:rsidRPr="00C0076E">
        <w:rPr>
          <w:sz w:val="24"/>
          <w:szCs w:val="24"/>
          <w:lang w:val="ru-RU"/>
        </w:rPr>
        <w:t xml:space="preserve"> </w:t>
      </w:r>
      <w:r w:rsidRPr="00C0076E">
        <w:rPr>
          <w:sz w:val="24"/>
          <w:szCs w:val="24"/>
        </w:rPr>
        <w:t>стан</w:t>
      </w:r>
      <w:r w:rsidRPr="00C0076E">
        <w:rPr>
          <w:sz w:val="24"/>
          <w:szCs w:val="24"/>
          <w:lang w:val="ru-RU"/>
        </w:rPr>
        <w:t xml:space="preserve"> </w:t>
      </w:r>
      <w:r w:rsidRPr="00C0076E">
        <w:rPr>
          <w:sz w:val="24"/>
          <w:szCs w:val="24"/>
        </w:rPr>
        <w:t>– через інструменти, спеціально створені для вимірювання ситуативної мотивації. У спортивних дослідженнях це часто реалізують як анкетування</w:t>
      </w:r>
      <w:r w:rsidRPr="00C0076E">
        <w:rPr>
          <w:sz w:val="24"/>
          <w:szCs w:val="24"/>
          <w:lang w:val="ru-RU"/>
        </w:rPr>
        <w:t xml:space="preserve"> </w:t>
      </w:r>
      <w:r w:rsidRPr="00C0076E">
        <w:rPr>
          <w:sz w:val="24"/>
          <w:szCs w:val="24"/>
        </w:rPr>
        <w:t>перед стартом,</w:t>
      </w:r>
      <w:r w:rsidRPr="00C0076E">
        <w:rPr>
          <w:sz w:val="24"/>
          <w:szCs w:val="24"/>
          <w:lang w:val="ru-RU"/>
        </w:rPr>
        <w:t xml:space="preserve"> </w:t>
      </w:r>
      <w:r w:rsidRPr="00C0076E">
        <w:rPr>
          <w:sz w:val="24"/>
          <w:szCs w:val="24"/>
        </w:rPr>
        <w:t>після зважування,</w:t>
      </w:r>
      <w:r w:rsidRPr="00C0076E">
        <w:rPr>
          <w:sz w:val="24"/>
          <w:szCs w:val="24"/>
          <w:lang w:val="ru-RU"/>
        </w:rPr>
        <w:t xml:space="preserve"> </w:t>
      </w:r>
      <w:r w:rsidRPr="00C0076E">
        <w:rPr>
          <w:sz w:val="24"/>
          <w:szCs w:val="24"/>
        </w:rPr>
        <w:t xml:space="preserve">перед матчем, або після конкретної </w:t>
      </w:r>
      <w:r w:rsidRPr="00C0076E">
        <w:rPr>
          <w:sz w:val="24"/>
          <w:szCs w:val="24"/>
        </w:rPr>
        <w:lastRenderedPageBreak/>
        <w:t xml:space="preserve">тренувальної вправи – тобто там, де мотиваційний стан найбільш релевантний для наступної поведінки. Так, наприклад, ситуативна внутрішня мотивація за 1–2 години до змагального старту є безпосереднім предиктором кращої об’єктивної результативності </w:t>
      </w:r>
      <w:r w:rsidRPr="00C0076E">
        <w:rPr>
          <w:sz w:val="24"/>
          <w:szCs w:val="24"/>
          <w:lang w:val="ru-RU"/>
        </w:rPr>
        <w:t>[38]</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На контекстуальному рівні внутрішня мотивація ближча до</w:t>
      </w:r>
      <w:r w:rsidRPr="00C0076E">
        <w:rPr>
          <w:sz w:val="24"/>
          <w:szCs w:val="24"/>
          <w:lang w:val="ru-RU"/>
        </w:rPr>
        <w:t xml:space="preserve"> </w:t>
      </w:r>
      <w:r w:rsidRPr="00C0076E">
        <w:rPr>
          <w:sz w:val="24"/>
          <w:szCs w:val="24"/>
        </w:rPr>
        <w:t>ймовірності</w:t>
      </w:r>
      <w:r w:rsidRPr="00C0076E">
        <w:rPr>
          <w:sz w:val="24"/>
          <w:szCs w:val="24"/>
          <w:lang w:val="ru-RU"/>
        </w:rPr>
        <w:t xml:space="preserve"> </w:t>
      </w:r>
      <w:r w:rsidRPr="00C0076E">
        <w:rPr>
          <w:sz w:val="24"/>
          <w:szCs w:val="24"/>
        </w:rPr>
        <w:t>переживати спорт як значущу і цікаву діяльність загалом (тренування протягом сезону, ставлення до спортивної кар’єри, довготривала залученість). На глобальному – це ще більш узагальнена диспозиція діяти переважно внутрішньо або зовнішньо мотивовано. У формулюваннях моделі глобальний рівень описують як мотивацію, що може розглядатися як відносно стабільний стиль поведінки [7</w:t>
      </w:r>
      <w:r w:rsidRPr="00C0076E">
        <w:rPr>
          <w:sz w:val="24"/>
          <w:szCs w:val="24"/>
          <w:lang w:val="ru-RU"/>
        </w:rPr>
        <w:t>,</w:t>
      </w:r>
      <w:r w:rsidRPr="00C0076E">
        <w:rPr>
          <w:sz w:val="24"/>
          <w:szCs w:val="24"/>
        </w:rPr>
        <w:t>37].</w:t>
      </w:r>
    </w:p>
    <w:p w:rsidR="00B60EB5" w:rsidRPr="00C0076E" w:rsidRDefault="00B60EB5" w:rsidP="00B60EB5">
      <w:pPr>
        <w:spacing w:after="0" w:line="240" w:lineRule="auto"/>
        <w:ind w:firstLine="709"/>
        <w:jc w:val="both"/>
        <w:rPr>
          <w:sz w:val="24"/>
          <w:szCs w:val="24"/>
          <w:lang w:val="ru-RU"/>
        </w:rPr>
      </w:pPr>
      <w:r w:rsidRPr="00C0076E">
        <w:rPr>
          <w:sz w:val="24"/>
          <w:szCs w:val="24"/>
        </w:rPr>
        <w:t>Розрізнення рівнів – не лише теоретична тонкість, а спосіб уникнути типових помилок у прикладних висновках. Якщо проблема спортсмена – у ситуативній мотивації (наприклад, знижується лише під час стартів), то втручання мають фокусуватися на дизайні змагального дня, регуляції уваги, комунікації, ритуалах тощо. Якщо ж проблема у контекстуальній мотивації (хронічна втрата інтересу до спорту, відчуття примусу, вигорання), тоді більш дієвими стануть зміни тренерського стилю, структури сезону, автономії, ролей у команді, цілей і смислів. Дослідження підкреслюють, що правильна інтервенція залежить від того,</w:t>
      </w:r>
      <w:r w:rsidRPr="00C0076E">
        <w:rPr>
          <w:sz w:val="24"/>
          <w:szCs w:val="24"/>
          <w:lang w:val="ru-RU"/>
        </w:rPr>
        <w:t xml:space="preserve"> </w:t>
      </w:r>
      <w:r w:rsidRPr="00C0076E">
        <w:rPr>
          <w:sz w:val="24"/>
          <w:szCs w:val="24"/>
        </w:rPr>
        <w:t>на якому рівні</w:t>
      </w:r>
      <w:r w:rsidRPr="00C0076E">
        <w:rPr>
          <w:sz w:val="24"/>
          <w:szCs w:val="24"/>
          <w:lang w:val="ru-RU"/>
        </w:rPr>
        <w:t xml:space="preserve"> </w:t>
      </w:r>
      <w:r w:rsidRPr="00C0076E">
        <w:rPr>
          <w:sz w:val="24"/>
          <w:szCs w:val="24"/>
        </w:rPr>
        <w:t xml:space="preserve">виникає проблема; інакше можна обрати не той важіль </w:t>
      </w:r>
      <w:r w:rsidRPr="00C0076E">
        <w:rPr>
          <w:sz w:val="24"/>
          <w:szCs w:val="24"/>
          <w:lang w:val="ru-RU"/>
        </w:rPr>
        <w:t>[39]</w:t>
      </w:r>
      <w:r w:rsidRPr="00C0076E">
        <w:rPr>
          <w:sz w:val="24"/>
          <w:szCs w:val="24"/>
        </w:rPr>
        <w:t>.</w:t>
      </w:r>
    </w:p>
    <w:p w:rsidR="00B60EB5" w:rsidRPr="00C0076E" w:rsidRDefault="00B60EB5" w:rsidP="00B60EB5">
      <w:pPr>
        <w:spacing w:after="0" w:line="240" w:lineRule="auto"/>
        <w:ind w:firstLine="709"/>
        <w:jc w:val="both"/>
        <w:rPr>
          <w:sz w:val="24"/>
          <w:szCs w:val="24"/>
        </w:rPr>
      </w:pPr>
      <w:r w:rsidRPr="00C0076E">
        <w:rPr>
          <w:sz w:val="24"/>
          <w:szCs w:val="24"/>
        </w:rPr>
        <w:t>Взаємозв’язок між цими рівнями описується через механізми низхідних (top-down) та висхідних (bottom-up) ефектів, які забезпечують динамічну регуляцію мотивації у часі [7</w:t>
      </w:r>
      <w:r w:rsidRPr="00C0076E">
        <w:rPr>
          <w:sz w:val="24"/>
          <w:szCs w:val="24"/>
          <w:lang w:val="ru-RU"/>
        </w:rPr>
        <w:t>,</w:t>
      </w:r>
      <w:r w:rsidRPr="00C0076E">
        <w:rPr>
          <w:sz w:val="24"/>
          <w:szCs w:val="24"/>
        </w:rPr>
        <w:t>37]. 1) Низхідні ефекти (</w:t>
      </w:r>
      <w:r w:rsidRPr="00C0076E">
        <w:rPr>
          <w:sz w:val="24"/>
          <w:szCs w:val="24"/>
          <w:lang w:val="en-US"/>
        </w:rPr>
        <w:t>t</w:t>
      </w:r>
      <w:r w:rsidRPr="00C0076E">
        <w:rPr>
          <w:sz w:val="24"/>
          <w:szCs w:val="24"/>
        </w:rPr>
        <w:t>op</w:t>
      </w:r>
      <w:r w:rsidRPr="00C0076E">
        <w:rPr>
          <w:sz w:val="24"/>
          <w:szCs w:val="24"/>
        </w:rPr>
        <w:noBreakHyphen/>
        <w:t>down) означає, що мотивація вищого рівня прогнозує мотивацію нижчого. Наприклад, якщо атлет має більш само детерміновану</w:t>
      </w:r>
      <w:r w:rsidRPr="00C0076E">
        <w:rPr>
          <w:sz w:val="24"/>
          <w:szCs w:val="24"/>
          <w:lang w:val="ru-RU"/>
        </w:rPr>
        <w:t xml:space="preserve"> </w:t>
      </w:r>
      <w:r w:rsidRPr="00C0076E">
        <w:rPr>
          <w:sz w:val="24"/>
          <w:szCs w:val="24"/>
        </w:rPr>
        <w:t>контекстуальну</w:t>
      </w:r>
      <w:r w:rsidRPr="00C0076E">
        <w:rPr>
          <w:sz w:val="24"/>
          <w:szCs w:val="24"/>
          <w:lang w:val="ru-RU"/>
        </w:rPr>
        <w:t xml:space="preserve"> </w:t>
      </w:r>
      <w:r w:rsidRPr="00C0076E">
        <w:rPr>
          <w:sz w:val="24"/>
          <w:szCs w:val="24"/>
        </w:rPr>
        <w:t>мотивацію у спорті, то ймовірніше, що в конкретному тренуванні/змаганні він переживатиме більш само детермінований</w:t>
      </w:r>
      <w:r w:rsidRPr="00C0076E">
        <w:rPr>
          <w:sz w:val="24"/>
          <w:szCs w:val="24"/>
          <w:lang w:val="ru-RU"/>
        </w:rPr>
        <w:t xml:space="preserve"> </w:t>
      </w:r>
      <w:r w:rsidRPr="00C0076E">
        <w:rPr>
          <w:sz w:val="24"/>
          <w:szCs w:val="24"/>
        </w:rPr>
        <w:t>ситуативний</w:t>
      </w:r>
      <w:r w:rsidRPr="00C0076E">
        <w:rPr>
          <w:sz w:val="24"/>
          <w:szCs w:val="24"/>
          <w:lang w:val="ru-RU"/>
        </w:rPr>
        <w:t xml:space="preserve"> </w:t>
      </w:r>
      <w:r w:rsidRPr="00C0076E">
        <w:rPr>
          <w:sz w:val="24"/>
          <w:szCs w:val="24"/>
        </w:rPr>
        <w:t>стан. Це є однією з причин, чому довготривале ставлення до спорту часто проявляється в моменті.</w:t>
      </w:r>
      <w:r w:rsidRPr="00C0076E">
        <w:rPr>
          <w:sz w:val="24"/>
          <w:szCs w:val="24"/>
          <w:lang w:val="ru-RU"/>
        </w:rPr>
        <w:t xml:space="preserve"> </w:t>
      </w:r>
      <w:r w:rsidRPr="00C0076E">
        <w:rPr>
          <w:sz w:val="24"/>
          <w:szCs w:val="24"/>
        </w:rPr>
        <w:t>2) Висхідні ефекти (</w:t>
      </w:r>
      <w:r w:rsidRPr="00C0076E">
        <w:rPr>
          <w:sz w:val="24"/>
          <w:szCs w:val="24"/>
          <w:lang w:val="en-US"/>
        </w:rPr>
        <w:t>b</w:t>
      </w:r>
      <w:r w:rsidRPr="00C0076E">
        <w:rPr>
          <w:sz w:val="24"/>
          <w:szCs w:val="24"/>
        </w:rPr>
        <w:t>ottom</w:t>
      </w:r>
      <w:r w:rsidRPr="00C0076E">
        <w:rPr>
          <w:sz w:val="24"/>
          <w:szCs w:val="24"/>
          <w:lang w:val="ru-RU"/>
        </w:rPr>
        <w:t>-</w:t>
      </w:r>
      <w:r w:rsidRPr="00C0076E">
        <w:rPr>
          <w:sz w:val="24"/>
          <w:szCs w:val="24"/>
        </w:rPr>
        <w:t>up): повторювані зміни на нижчому рівні з часом «інтерналізуються» й змінюють мотивацію на вищому рівні. Ситуативні епізоди не лише випливають із контекстуальної мотивації, а й</w:t>
      </w:r>
      <w:r w:rsidRPr="00C0076E">
        <w:rPr>
          <w:sz w:val="24"/>
          <w:szCs w:val="24"/>
          <w:lang w:val="ru-RU"/>
        </w:rPr>
        <w:t xml:space="preserve"> </w:t>
      </w:r>
      <w:r w:rsidRPr="00C0076E">
        <w:rPr>
          <w:sz w:val="24"/>
          <w:szCs w:val="24"/>
        </w:rPr>
        <w:t>накопичуються, формуючи контекстуальну орієнтацію. У формулюваннях моделі прямо підкреслюється, що коли ситуативні зміни відбуваються</w:t>
      </w:r>
      <w:r w:rsidRPr="00C0076E">
        <w:rPr>
          <w:sz w:val="24"/>
          <w:szCs w:val="24"/>
          <w:lang w:val="ru-RU"/>
        </w:rPr>
        <w:t xml:space="preserve"> </w:t>
      </w:r>
      <w:r w:rsidRPr="00C0076E">
        <w:rPr>
          <w:sz w:val="24"/>
          <w:szCs w:val="24"/>
        </w:rPr>
        <w:t>багаторазово, вони можуть породжувати зрушення на наступному рівні.</w:t>
      </w:r>
    </w:p>
    <w:p w:rsidR="00B60EB5" w:rsidRDefault="00B60EB5" w:rsidP="00B60EB5">
      <w:pPr>
        <w:spacing w:after="0" w:line="240" w:lineRule="auto"/>
        <w:ind w:firstLine="709"/>
        <w:jc w:val="both"/>
        <w:rPr>
          <w:sz w:val="24"/>
          <w:szCs w:val="24"/>
        </w:rPr>
      </w:pPr>
      <w:r w:rsidRPr="00C0076E">
        <w:rPr>
          <w:sz w:val="24"/>
          <w:szCs w:val="24"/>
        </w:rPr>
        <w:t>Враховуючи необхідність інтеграції різних теоретичних підходів для цілісного розуміння внутрішньої мотивації спортсменів, у табл.</w:t>
      </w:r>
      <w:r w:rsidRPr="00C0076E">
        <w:rPr>
          <w:sz w:val="24"/>
          <w:szCs w:val="24"/>
          <w:lang w:val="en-US"/>
        </w:rPr>
        <w:t> </w:t>
      </w:r>
      <w:r w:rsidRPr="00C0076E">
        <w:rPr>
          <w:sz w:val="24"/>
          <w:szCs w:val="24"/>
        </w:rPr>
        <w:t>3 подано узагальнену характеристику внеску теорії самодетермінації, теорії потоку та ієрархічної моделі мотивації.</w:t>
      </w:r>
    </w:p>
    <w:p w:rsidR="00B60EB5" w:rsidRPr="00C0076E" w:rsidRDefault="00B60EB5" w:rsidP="00B60EB5">
      <w:pPr>
        <w:spacing w:after="0" w:line="240" w:lineRule="auto"/>
        <w:ind w:firstLine="709"/>
        <w:jc w:val="both"/>
        <w:rPr>
          <w:sz w:val="24"/>
          <w:szCs w:val="24"/>
        </w:rPr>
      </w:pPr>
      <w:r w:rsidRPr="00C0076E">
        <w:rPr>
          <w:sz w:val="24"/>
          <w:szCs w:val="24"/>
        </w:rPr>
        <w:t>Представлена у табл.</w:t>
      </w:r>
      <w:r w:rsidRPr="00C0076E">
        <w:rPr>
          <w:sz w:val="24"/>
          <w:szCs w:val="24"/>
          <w:lang w:val="en-US"/>
        </w:rPr>
        <w:t> </w:t>
      </w:r>
      <w:r w:rsidRPr="00C0076E">
        <w:rPr>
          <w:sz w:val="24"/>
          <w:szCs w:val="24"/>
        </w:rPr>
        <w:t>3 інтеграція теоретичних підходів дозволяє перейти від їх ізольованого розгляду до системного розуміння внутрішньої мотивації як багаторівневого та динамічного феномену. Узагальнення внеску кожної з теорій свідчить, що вони пояснюють різні, але взаємодоповнюючі аспекти функціонування внутрішньої мотивації у спорті.</w:t>
      </w:r>
    </w:p>
    <w:p w:rsidR="00B60EB5" w:rsidRPr="00C0076E" w:rsidRDefault="00B60EB5" w:rsidP="00B60EB5">
      <w:pPr>
        <w:spacing w:after="0" w:line="240" w:lineRule="auto"/>
        <w:ind w:firstLine="709"/>
        <w:jc w:val="both"/>
        <w:rPr>
          <w:sz w:val="24"/>
          <w:szCs w:val="24"/>
        </w:rPr>
      </w:pPr>
      <w:r w:rsidRPr="00C0076E">
        <w:rPr>
          <w:sz w:val="24"/>
          <w:szCs w:val="24"/>
        </w:rPr>
        <w:t>Зокрема, теорія самодетермінації розкриває механізми виникнення та підтримки внутрішньої мотивації через задоволення базових психологічних потреб, визначаючи її джерело та умови формування. Теорія потоку, у свою чергу, дозволяє пояснити, як внутрішня мотивація реалізується у діяльності, розкриваючи її феноменологічні характеристики та особливості суб’єктивного досвіду. Ієрархічна модель мотивації доповнює ці підходи, забезпечуючи розуміння часової та рівневої організації мотиваційних процесів, зокрема взаємодії ситуативного, контекстуального та глобального рівнів.</w:t>
      </w:r>
    </w:p>
    <w:p w:rsidR="00B60EB5" w:rsidRPr="00C0076E" w:rsidRDefault="00B60EB5" w:rsidP="00B60EB5">
      <w:pPr>
        <w:spacing w:after="0" w:line="240" w:lineRule="auto"/>
        <w:ind w:firstLine="709"/>
        <w:jc w:val="both"/>
        <w:rPr>
          <w:sz w:val="24"/>
          <w:szCs w:val="24"/>
        </w:rPr>
      </w:pPr>
      <w:r w:rsidRPr="00C0076E">
        <w:rPr>
          <w:sz w:val="24"/>
          <w:szCs w:val="24"/>
        </w:rPr>
        <w:t xml:space="preserve">Аналіз наведених підходів дозволяє виявити їхню функціональну комплементарність: якщо теорія самодетермінації відповідає на питання «чому» </w:t>
      </w:r>
      <w:r w:rsidRPr="00C0076E">
        <w:rPr>
          <w:sz w:val="24"/>
          <w:szCs w:val="24"/>
        </w:rPr>
        <w:lastRenderedPageBreak/>
        <w:t>виникає внутрішня мотивація, теорія потоку – «як» вона переживається у процесі діяльності, то ієрархічна модель – «де» і «як довго» вона функціонує та трансформується у часі. Таким чином, кожна з теорій займає специфічне місце у поясненні мотиваційного процесу.</w:t>
      </w:r>
    </w:p>
    <w:p w:rsidR="00B60EB5" w:rsidRPr="00C0076E" w:rsidRDefault="00B60EB5" w:rsidP="00B60EB5">
      <w:pPr>
        <w:spacing w:after="0" w:line="240" w:lineRule="auto"/>
        <w:ind w:firstLine="709"/>
        <w:jc w:val="both"/>
        <w:rPr>
          <w:sz w:val="24"/>
          <w:szCs w:val="24"/>
        </w:rPr>
      </w:pPr>
      <w:r w:rsidRPr="00C0076E">
        <w:rPr>
          <w:sz w:val="24"/>
          <w:szCs w:val="24"/>
        </w:rPr>
        <w:t>Водночас важливо підкреслити, що лише інтеграція зазначених підходів дозволяє пояснити динаміку внутрішньої мотивації у спорті, зокрема перехід від ситуативних переживань (наприклад, стану потоку) до формування більш стійких мотиваційних установок щодо спортивної діяльності. У цьому контексті особливого значення набувають механізми взаємодії між рівнями мотивації (top-down та bottom-up процеси), які забезпечують її стабілізацію або, навпаки, зниження.</w:t>
      </w:r>
    </w:p>
    <w:p w:rsidR="00B60EB5" w:rsidRPr="00C0076E" w:rsidRDefault="00B60EB5" w:rsidP="00B60EB5">
      <w:pPr>
        <w:spacing w:after="0" w:line="240" w:lineRule="auto"/>
        <w:ind w:firstLine="709"/>
        <w:jc w:val="both"/>
        <w:rPr>
          <w:sz w:val="24"/>
          <w:szCs w:val="24"/>
        </w:rPr>
      </w:pPr>
    </w:p>
    <w:p w:rsidR="00B60EB5" w:rsidRPr="00C0076E" w:rsidRDefault="00B60EB5" w:rsidP="00B60EB5">
      <w:pPr>
        <w:spacing w:after="0" w:line="240" w:lineRule="auto"/>
        <w:ind w:firstLine="709"/>
        <w:jc w:val="right"/>
        <w:rPr>
          <w:i/>
          <w:sz w:val="24"/>
          <w:szCs w:val="24"/>
        </w:rPr>
      </w:pPr>
      <w:r w:rsidRPr="00C0076E">
        <w:rPr>
          <w:i/>
          <w:sz w:val="24"/>
          <w:szCs w:val="24"/>
        </w:rPr>
        <w:t>Таблиця 3</w:t>
      </w:r>
    </w:p>
    <w:p w:rsidR="00B60EB5" w:rsidRPr="00C0076E" w:rsidRDefault="00B60EB5" w:rsidP="00B60EB5">
      <w:pPr>
        <w:spacing w:after="0" w:line="240" w:lineRule="auto"/>
        <w:ind w:firstLine="709"/>
        <w:jc w:val="center"/>
        <w:rPr>
          <w:b/>
          <w:bCs/>
          <w:sz w:val="24"/>
          <w:szCs w:val="24"/>
        </w:rPr>
      </w:pPr>
      <w:r w:rsidRPr="00C0076E">
        <w:rPr>
          <w:b/>
          <w:bCs/>
          <w:sz w:val="24"/>
          <w:szCs w:val="24"/>
        </w:rPr>
        <w:t>Інтегративний підхід до розуміння внутрішньої мотивації спортсменів</w:t>
      </w:r>
    </w:p>
    <w:tbl>
      <w:tblPr>
        <w:tblStyle w:val="a6"/>
        <w:tblW w:w="9134" w:type="dxa"/>
        <w:tblInd w:w="108" w:type="dxa"/>
        <w:tblBorders>
          <w:insideH w:val="none" w:sz="0" w:space="0" w:color="auto"/>
          <w:insideV w:val="none" w:sz="0" w:space="0" w:color="auto"/>
        </w:tblBorders>
        <w:tblLook w:val="04A0" w:firstRow="1" w:lastRow="0" w:firstColumn="1" w:lastColumn="0" w:noHBand="0" w:noVBand="1"/>
      </w:tblPr>
      <w:tblGrid>
        <w:gridCol w:w="1817"/>
        <w:gridCol w:w="1756"/>
        <w:gridCol w:w="3467"/>
        <w:gridCol w:w="2094"/>
      </w:tblGrid>
      <w:tr w:rsidR="00B60EB5" w:rsidRPr="003815E7" w:rsidTr="008F4F34">
        <w:trPr>
          <w:trHeight w:val="630"/>
        </w:trPr>
        <w:tc>
          <w:tcPr>
            <w:tcW w:w="1817" w:type="dxa"/>
            <w:tcBorders>
              <w:top w:val="single" w:sz="4" w:space="0" w:color="auto"/>
              <w:bottom w:val="single" w:sz="4" w:space="0" w:color="auto"/>
            </w:tcBorders>
            <w:tcMar>
              <w:top w:w="28" w:type="dxa"/>
              <w:left w:w="28" w:type="dxa"/>
              <w:bottom w:w="28" w:type="dxa"/>
              <w:right w:w="28" w:type="dxa"/>
            </w:tcMar>
            <w:vAlign w:val="center"/>
            <w:hideMark/>
          </w:tcPr>
          <w:p w:rsidR="00B60EB5" w:rsidRPr="00C0076E" w:rsidRDefault="00B60EB5" w:rsidP="00B60EB5">
            <w:pPr>
              <w:spacing w:after="0"/>
              <w:jc w:val="center"/>
              <w:rPr>
                <w:sz w:val="24"/>
                <w:szCs w:val="24"/>
                <w:lang w:eastAsia="uk-UA"/>
              </w:rPr>
            </w:pPr>
            <w:r w:rsidRPr="00C0076E">
              <w:rPr>
                <w:sz w:val="24"/>
                <w:szCs w:val="24"/>
                <w:lang w:eastAsia="uk-UA"/>
              </w:rPr>
              <w:t>Теоретичний підхід</w:t>
            </w:r>
          </w:p>
        </w:tc>
        <w:tc>
          <w:tcPr>
            <w:tcW w:w="1756" w:type="dxa"/>
            <w:tcBorders>
              <w:top w:val="single" w:sz="4" w:space="0" w:color="auto"/>
              <w:bottom w:val="single" w:sz="4" w:space="0" w:color="auto"/>
            </w:tcBorders>
            <w:tcMar>
              <w:top w:w="28" w:type="dxa"/>
              <w:left w:w="28" w:type="dxa"/>
              <w:bottom w:w="28" w:type="dxa"/>
              <w:right w:w="28" w:type="dxa"/>
            </w:tcMar>
            <w:vAlign w:val="center"/>
            <w:hideMark/>
          </w:tcPr>
          <w:p w:rsidR="00B60EB5" w:rsidRPr="00C0076E" w:rsidRDefault="00B60EB5" w:rsidP="00B60EB5">
            <w:pPr>
              <w:spacing w:after="0"/>
              <w:jc w:val="center"/>
              <w:rPr>
                <w:sz w:val="24"/>
                <w:szCs w:val="24"/>
                <w:lang w:eastAsia="uk-UA"/>
              </w:rPr>
            </w:pPr>
            <w:r w:rsidRPr="00C0076E">
              <w:rPr>
                <w:sz w:val="24"/>
                <w:szCs w:val="24"/>
                <w:lang w:eastAsia="uk-UA"/>
              </w:rPr>
              <w:t>Що саме пояснює щодо внутрішньої мотивації</w:t>
            </w:r>
          </w:p>
        </w:tc>
        <w:tc>
          <w:tcPr>
            <w:tcW w:w="3467" w:type="dxa"/>
            <w:tcBorders>
              <w:top w:val="single" w:sz="4" w:space="0" w:color="auto"/>
              <w:bottom w:val="single" w:sz="4" w:space="0" w:color="auto"/>
            </w:tcBorders>
            <w:tcMar>
              <w:top w:w="28" w:type="dxa"/>
              <w:left w:w="28" w:type="dxa"/>
              <w:bottom w:w="28" w:type="dxa"/>
              <w:right w:w="28" w:type="dxa"/>
            </w:tcMar>
            <w:vAlign w:val="center"/>
            <w:hideMark/>
          </w:tcPr>
          <w:p w:rsidR="00B60EB5" w:rsidRPr="00C0076E" w:rsidRDefault="00B60EB5" w:rsidP="00B60EB5">
            <w:pPr>
              <w:spacing w:after="0"/>
              <w:jc w:val="center"/>
              <w:rPr>
                <w:sz w:val="24"/>
                <w:szCs w:val="24"/>
                <w:lang w:eastAsia="uk-UA"/>
              </w:rPr>
            </w:pPr>
            <w:r w:rsidRPr="00C0076E">
              <w:rPr>
                <w:sz w:val="24"/>
                <w:szCs w:val="24"/>
                <w:lang w:eastAsia="uk-UA"/>
              </w:rPr>
              <w:t>Ключові механізми</w:t>
            </w:r>
          </w:p>
        </w:tc>
        <w:tc>
          <w:tcPr>
            <w:tcW w:w="2094" w:type="dxa"/>
            <w:tcBorders>
              <w:top w:val="single" w:sz="4" w:space="0" w:color="auto"/>
              <w:bottom w:val="single" w:sz="4" w:space="0" w:color="auto"/>
            </w:tcBorders>
            <w:tcMar>
              <w:top w:w="28" w:type="dxa"/>
              <w:left w:w="28" w:type="dxa"/>
              <w:bottom w:w="28" w:type="dxa"/>
              <w:right w:w="28" w:type="dxa"/>
            </w:tcMar>
            <w:vAlign w:val="center"/>
            <w:hideMark/>
          </w:tcPr>
          <w:p w:rsidR="00B60EB5" w:rsidRPr="00C0076E" w:rsidRDefault="00B60EB5" w:rsidP="00B60EB5">
            <w:pPr>
              <w:spacing w:after="0"/>
              <w:jc w:val="center"/>
              <w:rPr>
                <w:sz w:val="24"/>
                <w:szCs w:val="24"/>
                <w:lang w:eastAsia="uk-UA"/>
              </w:rPr>
            </w:pPr>
            <w:r w:rsidRPr="00C0076E">
              <w:rPr>
                <w:sz w:val="24"/>
                <w:szCs w:val="24"/>
                <w:lang w:eastAsia="uk-UA"/>
              </w:rPr>
              <w:t>Значення в дослідженнях внутрішньої мотивації спортсменів</w:t>
            </w:r>
          </w:p>
        </w:tc>
      </w:tr>
      <w:tr w:rsidR="00B60EB5" w:rsidRPr="003815E7" w:rsidTr="008F4F34">
        <w:tc>
          <w:tcPr>
            <w:tcW w:w="1817" w:type="dxa"/>
            <w:tcBorders>
              <w:top w:val="single" w:sz="4" w:space="0" w:color="auto"/>
            </w:tcBorders>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Теорія самодетермінації (SDT)</w:t>
            </w:r>
          </w:p>
        </w:tc>
        <w:tc>
          <w:tcPr>
            <w:tcW w:w="1756" w:type="dxa"/>
            <w:tcBorders>
              <w:top w:val="single" w:sz="4" w:space="0" w:color="auto"/>
            </w:tcBorders>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Чому внутрішня мотивація виникає і підтримується</w:t>
            </w:r>
          </w:p>
        </w:tc>
        <w:tc>
          <w:tcPr>
            <w:tcW w:w="3467" w:type="dxa"/>
            <w:tcBorders>
              <w:top w:val="single" w:sz="4" w:space="0" w:color="auto"/>
            </w:tcBorders>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Задоволення потреб в автономії, компетентності, пов’язаності</w:t>
            </w:r>
          </w:p>
        </w:tc>
        <w:tc>
          <w:tcPr>
            <w:tcW w:w="2094" w:type="dxa"/>
            <w:tcBorders>
              <w:top w:val="single" w:sz="4" w:space="0" w:color="auto"/>
            </w:tcBorders>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Формування автономно-підтримувального тренувального середовища</w:t>
            </w:r>
          </w:p>
        </w:tc>
      </w:tr>
      <w:tr w:rsidR="00B60EB5" w:rsidRPr="003815E7" w:rsidTr="008F4F34">
        <w:trPr>
          <w:trHeight w:val="686"/>
        </w:trPr>
        <w:tc>
          <w:tcPr>
            <w:tcW w:w="1817" w:type="dxa"/>
            <w:tcMar>
              <w:top w:w="28" w:type="dxa"/>
              <w:left w:w="28" w:type="dxa"/>
              <w:bottom w:w="28" w:type="dxa"/>
              <w:right w:w="28" w:type="dxa"/>
            </w:tcMar>
            <w:hideMark/>
          </w:tcPr>
          <w:p w:rsidR="00B60EB5" w:rsidRPr="00C0076E" w:rsidRDefault="00B60EB5" w:rsidP="00B60EB5">
            <w:pPr>
              <w:spacing w:after="0"/>
              <w:jc w:val="both"/>
              <w:rPr>
                <w:sz w:val="24"/>
                <w:szCs w:val="24"/>
                <w:lang w:val="en-US" w:eastAsia="uk-UA"/>
              </w:rPr>
            </w:pPr>
            <w:r w:rsidRPr="00C0076E">
              <w:rPr>
                <w:sz w:val="24"/>
                <w:szCs w:val="24"/>
                <w:lang w:eastAsia="uk-UA"/>
              </w:rPr>
              <w:t>Теорія потоку</w:t>
            </w:r>
          </w:p>
          <w:p w:rsidR="00B60EB5" w:rsidRPr="00C0076E" w:rsidRDefault="00B60EB5" w:rsidP="00B60EB5">
            <w:pPr>
              <w:spacing w:after="0"/>
              <w:jc w:val="both"/>
              <w:rPr>
                <w:sz w:val="24"/>
                <w:szCs w:val="24"/>
                <w:lang w:val="en-US" w:eastAsia="uk-UA"/>
              </w:rPr>
            </w:pPr>
            <w:r w:rsidRPr="00C0076E">
              <w:rPr>
                <w:sz w:val="24"/>
                <w:szCs w:val="24"/>
                <w:lang w:val="en-US" w:eastAsia="uk-UA"/>
              </w:rPr>
              <w:t>(Flow theory)</w:t>
            </w:r>
          </w:p>
        </w:tc>
        <w:tc>
          <w:tcPr>
            <w:tcW w:w="1756" w:type="dxa"/>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Як внутрішня мотивація переживається в діяльності</w:t>
            </w:r>
          </w:p>
        </w:tc>
        <w:tc>
          <w:tcPr>
            <w:tcW w:w="3467" w:type="dxa"/>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Умови виникнення потоку: баланс «виклик–навички», чіткі цілі, негайний зворотний зв’язок. Характеристики переживання потоку: автотелічність, повна концентрація на діяльності, злиття дії та свідомості, втрата рефлексивної самосвідомості, зміна сприйняття часу, відчуття контролю.</w:t>
            </w:r>
          </w:p>
        </w:tc>
        <w:tc>
          <w:tcPr>
            <w:tcW w:w="2094" w:type="dxa"/>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Структурування тренувальної та змагальної діяльності для пікової залученості та оптимального функціонування</w:t>
            </w:r>
          </w:p>
        </w:tc>
      </w:tr>
      <w:tr w:rsidR="00B60EB5" w:rsidRPr="003815E7" w:rsidTr="008F4F34">
        <w:trPr>
          <w:trHeight w:val="1704"/>
        </w:trPr>
        <w:tc>
          <w:tcPr>
            <w:tcW w:w="1817" w:type="dxa"/>
            <w:tcMar>
              <w:top w:w="28" w:type="dxa"/>
              <w:left w:w="28" w:type="dxa"/>
              <w:bottom w:w="28" w:type="dxa"/>
              <w:right w:w="28" w:type="dxa"/>
            </w:tcMar>
            <w:hideMark/>
          </w:tcPr>
          <w:p w:rsidR="00B60EB5" w:rsidRPr="00B60EB5" w:rsidRDefault="00B60EB5" w:rsidP="00B60EB5">
            <w:pPr>
              <w:spacing w:after="0"/>
              <w:jc w:val="both"/>
              <w:rPr>
                <w:sz w:val="24"/>
                <w:szCs w:val="24"/>
                <w:lang w:val="uk-UA" w:eastAsia="uk-UA"/>
              </w:rPr>
            </w:pPr>
            <w:r w:rsidRPr="00B60EB5">
              <w:rPr>
                <w:sz w:val="24"/>
                <w:szCs w:val="24"/>
                <w:lang w:val="uk-UA" w:eastAsia="uk-UA"/>
              </w:rPr>
              <w:t>Ієрархічна модель внутрішньої та зовнішньої мотивації (</w:t>
            </w:r>
            <w:r w:rsidRPr="00C0076E">
              <w:rPr>
                <w:sz w:val="24"/>
                <w:szCs w:val="24"/>
                <w:lang w:eastAsia="uk-UA"/>
              </w:rPr>
              <w:t>HMEIM</w:t>
            </w:r>
            <w:r w:rsidRPr="00B60EB5">
              <w:rPr>
                <w:sz w:val="24"/>
                <w:szCs w:val="24"/>
                <w:lang w:val="uk-UA" w:eastAsia="uk-UA"/>
              </w:rPr>
              <w:t>)</w:t>
            </w:r>
          </w:p>
        </w:tc>
        <w:tc>
          <w:tcPr>
            <w:tcW w:w="1756" w:type="dxa"/>
            <w:tcMar>
              <w:top w:w="28" w:type="dxa"/>
              <w:left w:w="28" w:type="dxa"/>
              <w:bottom w:w="28" w:type="dxa"/>
              <w:right w:w="28" w:type="dxa"/>
            </w:tcMar>
            <w:hideMark/>
          </w:tcPr>
          <w:p w:rsidR="00B60EB5" w:rsidRPr="00B60EB5" w:rsidRDefault="00B60EB5" w:rsidP="00B60EB5">
            <w:pPr>
              <w:spacing w:after="0"/>
              <w:jc w:val="both"/>
              <w:rPr>
                <w:sz w:val="24"/>
                <w:szCs w:val="24"/>
                <w:lang w:val="uk-UA" w:eastAsia="uk-UA"/>
              </w:rPr>
            </w:pPr>
            <w:r w:rsidRPr="00B60EB5">
              <w:rPr>
                <w:sz w:val="24"/>
                <w:szCs w:val="24"/>
                <w:lang w:val="uk-UA" w:eastAsia="uk-UA"/>
              </w:rPr>
              <w:t>Де і як довго функціонує внутрішня мотивація</w:t>
            </w:r>
          </w:p>
        </w:tc>
        <w:tc>
          <w:tcPr>
            <w:tcW w:w="3467" w:type="dxa"/>
            <w:tcMar>
              <w:top w:w="28" w:type="dxa"/>
              <w:left w:w="28" w:type="dxa"/>
              <w:bottom w:w="28" w:type="dxa"/>
              <w:right w:w="28" w:type="dxa"/>
            </w:tcMar>
            <w:hideMark/>
          </w:tcPr>
          <w:p w:rsidR="00B60EB5" w:rsidRPr="00B60EB5" w:rsidRDefault="00B60EB5" w:rsidP="00B60EB5">
            <w:pPr>
              <w:spacing w:after="0"/>
              <w:jc w:val="both"/>
              <w:rPr>
                <w:sz w:val="24"/>
                <w:szCs w:val="24"/>
                <w:lang w:val="uk-UA" w:eastAsia="uk-UA"/>
              </w:rPr>
            </w:pPr>
            <w:r w:rsidRPr="00B60EB5">
              <w:rPr>
                <w:sz w:val="24"/>
                <w:szCs w:val="24"/>
                <w:lang w:val="uk-UA" w:eastAsia="uk-UA"/>
              </w:rPr>
              <w:t>Розрізнення ситуативної, контекстуальної, глобальної внутрішньої мотивації; висхідні (</w:t>
            </w:r>
            <w:r w:rsidRPr="00C0076E">
              <w:rPr>
                <w:sz w:val="24"/>
                <w:szCs w:val="24"/>
                <w:lang w:eastAsia="uk-UA"/>
              </w:rPr>
              <w:t>top</w:t>
            </w:r>
            <w:r w:rsidRPr="00B60EB5">
              <w:rPr>
                <w:sz w:val="24"/>
                <w:szCs w:val="24"/>
                <w:lang w:val="uk-UA" w:eastAsia="uk-UA"/>
              </w:rPr>
              <w:t>-</w:t>
            </w:r>
            <w:r w:rsidRPr="00C0076E">
              <w:rPr>
                <w:sz w:val="24"/>
                <w:szCs w:val="24"/>
                <w:lang w:eastAsia="uk-UA"/>
              </w:rPr>
              <w:t>down</w:t>
            </w:r>
            <w:r w:rsidRPr="00B60EB5">
              <w:rPr>
                <w:sz w:val="24"/>
                <w:szCs w:val="24"/>
                <w:lang w:val="uk-UA" w:eastAsia="uk-UA"/>
              </w:rPr>
              <w:t>) та нисхідні (</w:t>
            </w:r>
            <w:r w:rsidRPr="00C0076E">
              <w:rPr>
                <w:sz w:val="24"/>
                <w:szCs w:val="24"/>
                <w:lang w:eastAsia="uk-UA"/>
              </w:rPr>
              <w:t>bottom</w:t>
            </w:r>
            <w:r w:rsidRPr="00B60EB5">
              <w:rPr>
                <w:sz w:val="24"/>
                <w:szCs w:val="24"/>
                <w:lang w:val="uk-UA" w:eastAsia="uk-UA"/>
              </w:rPr>
              <w:t>-</w:t>
            </w:r>
            <w:r w:rsidRPr="00C0076E">
              <w:rPr>
                <w:sz w:val="24"/>
                <w:szCs w:val="24"/>
                <w:lang w:eastAsia="uk-UA"/>
              </w:rPr>
              <w:t>up</w:t>
            </w:r>
            <w:r w:rsidRPr="00B60EB5">
              <w:rPr>
                <w:sz w:val="24"/>
                <w:szCs w:val="24"/>
                <w:lang w:val="uk-UA" w:eastAsia="uk-UA"/>
              </w:rPr>
              <w:t>) процеси</w:t>
            </w:r>
          </w:p>
        </w:tc>
        <w:tc>
          <w:tcPr>
            <w:tcW w:w="2094" w:type="dxa"/>
            <w:tcMar>
              <w:top w:w="28" w:type="dxa"/>
              <w:left w:w="28" w:type="dxa"/>
              <w:bottom w:w="28" w:type="dxa"/>
              <w:right w:w="28" w:type="dxa"/>
            </w:tcMar>
            <w:hideMark/>
          </w:tcPr>
          <w:p w:rsidR="00B60EB5" w:rsidRPr="00C0076E" w:rsidRDefault="00B60EB5" w:rsidP="00B60EB5">
            <w:pPr>
              <w:spacing w:after="0"/>
              <w:jc w:val="both"/>
              <w:rPr>
                <w:sz w:val="24"/>
                <w:szCs w:val="24"/>
                <w:lang w:eastAsia="uk-UA"/>
              </w:rPr>
            </w:pPr>
            <w:r w:rsidRPr="00C0076E">
              <w:rPr>
                <w:sz w:val="24"/>
                <w:szCs w:val="24"/>
                <w:lang w:eastAsia="uk-UA"/>
              </w:rPr>
              <w:t>Аналіз стабільності, розвитку та перенесення внутрішньої мотивації у часі</w:t>
            </w:r>
          </w:p>
        </w:tc>
      </w:tr>
    </w:tbl>
    <w:p w:rsidR="00B60EB5" w:rsidRPr="00C0076E" w:rsidRDefault="00B60EB5" w:rsidP="00B60EB5">
      <w:pPr>
        <w:spacing w:after="0" w:line="240" w:lineRule="auto"/>
        <w:ind w:firstLine="709"/>
        <w:jc w:val="both"/>
        <w:rPr>
          <w:sz w:val="24"/>
          <w:szCs w:val="24"/>
          <w:lang w:val="ru-RU"/>
        </w:rPr>
      </w:pPr>
    </w:p>
    <w:p w:rsidR="00B60EB5" w:rsidRPr="00C0076E" w:rsidRDefault="00B60EB5" w:rsidP="00B60EB5">
      <w:pPr>
        <w:spacing w:after="0" w:line="240" w:lineRule="auto"/>
        <w:ind w:firstLine="709"/>
        <w:jc w:val="both"/>
        <w:rPr>
          <w:sz w:val="24"/>
          <w:szCs w:val="24"/>
        </w:rPr>
      </w:pPr>
      <w:r>
        <w:rPr>
          <w:sz w:val="24"/>
          <w:szCs w:val="24"/>
        </w:rPr>
        <w:t>І</w:t>
      </w:r>
      <w:r w:rsidRPr="00C0076E">
        <w:rPr>
          <w:sz w:val="24"/>
          <w:szCs w:val="24"/>
        </w:rPr>
        <w:t>нтегративний підхід дозволяє розглядати внутрішню мотивацію як цілісну систему, що поєднує потребово-мотиваційні чинники, структурні характеристики діяльності та ієрархічну організацію мотиваційних процесів. Це створює теоретичне підґрунтя для подальшого аналізу механізмів розвитку, підтримки та трансформації внутрішньої мотивації спортсменів в умовах змагальної діяльності.</w:t>
      </w:r>
    </w:p>
    <w:p w:rsidR="00B60EB5" w:rsidRPr="00C0076E" w:rsidRDefault="00B60EB5" w:rsidP="00B60EB5">
      <w:pPr>
        <w:spacing w:after="0" w:line="240" w:lineRule="auto"/>
        <w:ind w:firstLine="709"/>
        <w:jc w:val="both"/>
        <w:rPr>
          <w:b/>
          <w:bCs/>
          <w:sz w:val="24"/>
          <w:szCs w:val="24"/>
        </w:rPr>
      </w:pPr>
      <w:r w:rsidRPr="00C0076E">
        <w:rPr>
          <w:sz w:val="24"/>
          <w:szCs w:val="24"/>
        </w:rPr>
        <w:lastRenderedPageBreak/>
        <w:t>Встановлення взаємозв’язку між базовими психологічними потребами, станом потоку та мотиваційною динамікою у спортивній діяльності передбачено в подальшій експериментальній роботі.</w:t>
      </w:r>
    </w:p>
    <w:p w:rsidR="00B60EB5" w:rsidRPr="00C0076E" w:rsidRDefault="00B60EB5" w:rsidP="00B60EB5">
      <w:pPr>
        <w:spacing w:after="0" w:line="240" w:lineRule="auto"/>
        <w:ind w:firstLine="709"/>
        <w:jc w:val="both"/>
        <w:rPr>
          <w:sz w:val="24"/>
          <w:szCs w:val="24"/>
        </w:rPr>
      </w:pPr>
      <w:r w:rsidRPr="00C0076E">
        <w:rPr>
          <w:b/>
          <w:bCs/>
          <w:sz w:val="24"/>
          <w:szCs w:val="24"/>
        </w:rPr>
        <w:t>Висновки з новим обґрунтуванням подальшого пошуку в цьому напрямі.</w:t>
      </w:r>
      <w:r w:rsidRPr="00C0076E">
        <w:rPr>
          <w:sz w:val="24"/>
          <w:szCs w:val="24"/>
        </w:rPr>
        <w:t xml:space="preserve"> Проведений теоретичний аналіз засвідчив, що внутрішня мотивація спортсменів не може бути вичерпно пояснена в межах одного наукового підходу, що зумовлює необхідність їх інтеграції.</w:t>
      </w:r>
    </w:p>
    <w:p w:rsidR="00B60EB5" w:rsidRPr="00C0076E" w:rsidRDefault="00B60EB5" w:rsidP="00B60EB5">
      <w:pPr>
        <w:spacing w:after="0" w:line="240" w:lineRule="auto"/>
        <w:ind w:firstLine="709"/>
        <w:jc w:val="both"/>
        <w:rPr>
          <w:sz w:val="24"/>
          <w:szCs w:val="24"/>
        </w:rPr>
      </w:pPr>
      <w:r w:rsidRPr="00C0076E">
        <w:rPr>
          <w:sz w:val="24"/>
          <w:szCs w:val="24"/>
        </w:rPr>
        <w:t>Відповідно до мети дослідження, теоретично обґрунтовано застосування інтегративного підходу до розуміння внутрішньої мотивації спортсменів на основі поєднання положень теорії самодетермінації, теорії потоку та ієрархічної моделі внутрішньої та зовнішньої мотивації.</w:t>
      </w:r>
    </w:p>
    <w:p w:rsidR="00B60EB5" w:rsidRPr="00C0076E" w:rsidRDefault="00B60EB5" w:rsidP="00B60EB5">
      <w:pPr>
        <w:spacing w:after="0" w:line="240" w:lineRule="auto"/>
        <w:ind w:firstLine="709"/>
        <w:jc w:val="both"/>
        <w:rPr>
          <w:sz w:val="24"/>
          <w:szCs w:val="24"/>
        </w:rPr>
      </w:pPr>
      <w:r w:rsidRPr="00C0076E">
        <w:rPr>
          <w:sz w:val="24"/>
          <w:szCs w:val="24"/>
        </w:rPr>
        <w:t>Показано, що у межах теорії самодетермінації внутрішня мотивація пов’язана із задоволенням базових психологічних потреб автономії, компетентності та пов’язаності; теорія потоку розкриває особливості її прояву у діяльності через характеристики стану оптимального досвіду; ієрархічна модель внутрішньої та зовнішньої мотивації пояснює її динаміку на різних рівнях функціонування.</w:t>
      </w:r>
    </w:p>
    <w:p w:rsidR="00B60EB5" w:rsidRPr="00C0076E" w:rsidRDefault="00B60EB5" w:rsidP="00B60EB5">
      <w:pPr>
        <w:spacing w:after="0" w:line="240" w:lineRule="auto"/>
        <w:ind w:firstLine="709"/>
        <w:jc w:val="both"/>
        <w:rPr>
          <w:sz w:val="24"/>
          <w:szCs w:val="24"/>
        </w:rPr>
      </w:pPr>
      <w:r w:rsidRPr="00C0076E">
        <w:rPr>
          <w:sz w:val="24"/>
          <w:szCs w:val="24"/>
        </w:rPr>
        <w:t>Встановлено теоретичний взаємозв’язок між задоволенням базових психологічних потреб, виникненням стану потоку та мотиваційною динамікою у спортивній діяльності. Показано, що задоволення потреб створює передумови для виникнення внутрішньої мотивації, що може реалізуватися у діяльності через стан потоку, а повторюваність таких станів пов’язана з її стабілізацією на вищих рівнях мотивації.</w:t>
      </w:r>
    </w:p>
    <w:p w:rsidR="00B60EB5" w:rsidRPr="00C0076E" w:rsidRDefault="00B60EB5" w:rsidP="00B60EB5">
      <w:pPr>
        <w:spacing w:after="0" w:line="240" w:lineRule="auto"/>
        <w:ind w:firstLine="709"/>
        <w:jc w:val="both"/>
        <w:rPr>
          <w:sz w:val="24"/>
          <w:szCs w:val="24"/>
        </w:rPr>
      </w:pPr>
      <w:r w:rsidRPr="00C0076E">
        <w:rPr>
          <w:sz w:val="24"/>
          <w:szCs w:val="24"/>
        </w:rPr>
        <w:t>Здійснено системну інтеграцію положень теорії самодетермінації, теорії потоку та ієрархічної моделі мотивації у єдину концептуальну модель внутрішньої мотивації спортсменів. Запропоновано розгляд внутрішньої мотивації як багаторівневого феномену, що поєднує мотиваційні чинники, характеристики діяльності та динаміку мотиваційних процесів у часі.</w:t>
      </w:r>
    </w:p>
    <w:p w:rsidR="00B60EB5" w:rsidRPr="00C0076E" w:rsidRDefault="00B60EB5" w:rsidP="00B60EB5">
      <w:pPr>
        <w:spacing w:after="0" w:line="240" w:lineRule="auto"/>
        <w:ind w:firstLine="709"/>
        <w:jc w:val="both"/>
        <w:rPr>
          <w:sz w:val="24"/>
          <w:szCs w:val="24"/>
        </w:rPr>
      </w:pPr>
      <w:r>
        <w:rPr>
          <w:sz w:val="24"/>
          <w:szCs w:val="24"/>
        </w:rPr>
        <w:t>І</w:t>
      </w:r>
      <w:r w:rsidRPr="00C0076E">
        <w:rPr>
          <w:sz w:val="24"/>
          <w:szCs w:val="24"/>
        </w:rPr>
        <w:t>нтегративний підхід дозволяє розглядати внутрішню мотивацію спортсменів як узгоджену систему взаємопов’язаних компонентів та створює теоретичне підґрунтя для подальших експериментальних досліджень у цьому напрямі.</w:t>
      </w:r>
    </w:p>
    <w:p w:rsidR="00B60EB5" w:rsidRPr="00C0076E" w:rsidRDefault="00B60EB5" w:rsidP="00B60EB5">
      <w:pPr>
        <w:spacing w:after="0" w:line="240" w:lineRule="auto"/>
        <w:ind w:firstLine="709"/>
        <w:rPr>
          <w:sz w:val="24"/>
          <w:szCs w:val="24"/>
        </w:rPr>
      </w:pPr>
    </w:p>
    <w:p w:rsidR="00B60EB5" w:rsidRPr="00802413" w:rsidRDefault="00B60EB5" w:rsidP="00B60EB5">
      <w:pPr>
        <w:pStyle w:val="af6"/>
        <w:spacing w:after="0" w:line="240" w:lineRule="auto"/>
        <w:ind w:firstLine="709"/>
        <w:jc w:val="center"/>
        <w:rPr>
          <w:rFonts w:ascii="Times New Roman" w:hAnsi="Times New Roman"/>
          <w:b/>
          <w:sz w:val="20"/>
          <w:szCs w:val="24"/>
        </w:rPr>
      </w:pPr>
      <w:r w:rsidRPr="00802413">
        <w:rPr>
          <w:rFonts w:ascii="Times New Roman" w:hAnsi="Times New Roman"/>
          <w:b/>
          <w:sz w:val="20"/>
          <w:szCs w:val="24"/>
        </w:rPr>
        <w:t>References</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De Francisco C, Sánchez-Romero EI, Vílchez Conesa MD, Arce C. Basic psychological needs, burnout and engagement in sport: the mediating role of motivation regulation. Int J Environ Res Health. 2020;17(14):4941. </w:t>
      </w:r>
      <w:hyperlink r:id="rId191" w:tgtFrame="_blank" w:history="1">
        <w:r w:rsidRPr="00C0076E">
          <w:rPr>
            <w:rStyle w:val="af3"/>
            <w:rFonts w:ascii="Times New Roman" w:hAnsi="Times New Roman"/>
            <w:sz w:val="20"/>
            <w:szCs w:val="20"/>
          </w:rPr>
          <w:t>https://doi.org/10.3390/ijerph17144941</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Zhang M, Wang XC, Shao B. Predictors of persistent participation in youth sport: a systematic review and meta-analysis. Front Psychol. 2022;13. </w:t>
      </w:r>
      <w:hyperlink r:id="rId192" w:tgtFrame="_blank" w:history="1">
        <w:r w:rsidRPr="00C0076E">
          <w:rPr>
            <w:rStyle w:val="af3"/>
            <w:rFonts w:ascii="Times New Roman" w:hAnsi="Times New Roman"/>
            <w:sz w:val="20"/>
            <w:szCs w:val="20"/>
          </w:rPr>
          <w:t>https://doi.org/10.3389/fpsyg.2022.871936</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Vansteenkiste M, Ryan RM, Soenens B. Basic psychological need theory: advancements, critical themes, and future directions. Motiv Emot. 2020; 44(1):1-31. </w:t>
      </w:r>
      <w:hyperlink r:id="rId193" w:history="1">
        <w:r w:rsidRPr="00C0076E">
          <w:rPr>
            <w:rStyle w:val="af3"/>
            <w:rFonts w:ascii="Times New Roman" w:hAnsi="Times New Roman"/>
            <w:sz w:val="20"/>
            <w:szCs w:val="20"/>
          </w:rPr>
          <w:t>https://doi.org/10.1007/s11031-019-09818-1</w:t>
        </w:r>
      </w:hyperlink>
      <w:r w:rsidRPr="00C0076E">
        <w:rPr>
          <w:rFonts w:ascii="Times New Roman" w:hAnsi="Times New Roman"/>
          <w:sz w:val="20"/>
          <w:szCs w:val="20"/>
        </w:rPr>
        <w:t xml:space="preserve">. </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Ryan RM, Deci EL. Intrinsic and extrinsic motivation from a self-determination theory perspective: definitions, theory, practices, and future directions. Contemp Educ Psychol. 2020;61:101860. </w:t>
      </w:r>
      <w:hyperlink r:id="rId194" w:history="1">
        <w:r w:rsidRPr="00C0076E">
          <w:rPr>
            <w:rStyle w:val="af3"/>
            <w:rFonts w:ascii="Times New Roman" w:hAnsi="Times New Roman"/>
            <w:sz w:val="20"/>
            <w:szCs w:val="20"/>
          </w:rPr>
          <w:t>https://doi.org/10.1016/j.cedpsych.2020.101860</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Nakamura J, Csikszentmihalyi M. The experience of flow: theory and research. In: Snyder CR, Lopez SJ, Edwards LM, Marques SC, editors. </w:t>
      </w:r>
      <w:r w:rsidRPr="00C0076E">
        <w:rPr>
          <w:rFonts w:ascii="Times New Roman" w:hAnsi="Times New Roman"/>
          <w:sz w:val="20"/>
          <w:szCs w:val="20"/>
        </w:rPr>
        <w:br/>
        <w:t>The Oxford handbook of positive psychology. 3rd ed. Oxford: Oxford University Press; 2020. p. 279</w:t>
      </w:r>
      <w:r w:rsidR="00577D33">
        <w:rPr>
          <w:rFonts w:ascii="Times New Roman" w:hAnsi="Times New Roman"/>
          <w:sz w:val="20"/>
          <w:szCs w:val="20"/>
          <w:lang w:val="uk-UA"/>
        </w:rPr>
        <w:t>-</w:t>
      </w:r>
      <w:r w:rsidRPr="00C0076E">
        <w:rPr>
          <w:rFonts w:ascii="Times New Roman" w:hAnsi="Times New Roman"/>
          <w:sz w:val="20"/>
          <w:szCs w:val="20"/>
        </w:rPr>
        <w:t xml:space="preserve">96. </w:t>
      </w:r>
      <w:hyperlink r:id="rId195" w:history="1">
        <w:r w:rsidRPr="00C0076E">
          <w:rPr>
            <w:rStyle w:val="af3"/>
            <w:rFonts w:ascii="Times New Roman" w:hAnsi="Times New Roman"/>
            <w:sz w:val="20"/>
            <w:szCs w:val="20"/>
          </w:rPr>
          <w:t>https://doi.org/10.1093/oxfordhb/9780199396511.013.16</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Goddard SG, Stevens CJ, Jackman PC, Swann C. A systematic review of flow interventions in sport and exercise. Int Rev Sport Exerc Psychol. 2021:1-36. </w:t>
      </w:r>
      <w:hyperlink r:id="rId196" w:tgtFrame="_blank" w:history="1">
        <w:r w:rsidRPr="00C0076E">
          <w:rPr>
            <w:rStyle w:val="af3"/>
            <w:rFonts w:ascii="Times New Roman" w:hAnsi="Times New Roman"/>
            <w:sz w:val="20"/>
            <w:szCs w:val="20"/>
          </w:rPr>
          <w:t>https://doi.org/10.1080/1750984x.2021.1923055</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Vallerand RJ. Handbook of sport psychology. Hoboken, NJ, USA: John Wiley &amp; Sons, Inc.; 2012. Intrinsic and extrinsic motivation in sport and physical activity: a review and a look at the future; p. 59-83. </w:t>
      </w:r>
      <w:hyperlink r:id="rId197" w:history="1">
        <w:r w:rsidRPr="00C0076E">
          <w:rPr>
            <w:rStyle w:val="af3"/>
            <w:rFonts w:ascii="Times New Roman" w:hAnsi="Times New Roman"/>
            <w:sz w:val="20"/>
            <w:szCs w:val="20"/>
          </w:rPr>
          <w:t>https://doi.org/10.1002/9781118270011.ch3</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Ryan RM, Deci EL. Encyclopedia of quality of life and well-being research. Cham: Springer International Publishing; 2023. Self-Determination theory; p. 6229-35. Available from: </w:t>
      </w:r>
      <w:hyperlink r:id="rId198" w:tgtFrame="_blank" w:history="1">
        <w:r w:rsidRPr="00C0076E">
          <w:rPr>
            <w:rStyle w:val="af3"/>
            <w:rFonts w:ascii="Times New Roman" w:hAnsi="Times New Roman"/>
            <w:sz w:val="20"/>
            <w:szCs w:val="20"/>
          </w:rPr>
          <w:t>https://doi.org/10.1007/978-3-031-17299-1_2630</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lastRenderedPageBreak/>
        <w:t xml:space="preserve">Silva YJB, Tonial AGS. Motivational determinants and their influence on the performance of elite athletes: an integrative review. Res Soc Dev. 2025; 14(12): e120141250397. </w:t>
      </w:r>
      <w:hyperlink r:id="rId199" w:history="1">
        <w:r w:rsidRPr="00C0076E">
          <w:rPr>
            <w:rStyle w:val="af3"/>
            <w:rFonts w:ascii="Times New Roman" w:hAnsi="Times New Roman"/>
            <w:sz w:val="20"/>
            <w:szCs w:val="20"/>
          </w:rPr>
          <w:t>https://doi.org/10.33448/rsd-v14i12.50397</w:t>
        </w:r>
      </w:hyperlink>
      <w:r w:rsidRPr="00C0076E">
        <w:rPr>
          <w:rFonts w:ascii="Times New Roman" w:hAnsi="Times New Roman"/>
          <w:sz w:val="20"/>
          <w:szCs w:val="20"/>
        </w:rPr>
        <w:t xml:space="preserve">. </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Folvarochnyi I, Yunhui W, Hak A. Psychological characteristics of adolescents’ motivation in academic rowing. Sci J Natl Pedagog Dragomanov Univ Ser 15 Sci Pedagog Probl Phys Cult (Phys Cult ). 2025;10(197):228-32. </w:t>
      </w:r>
      <w:hyperlink r:id="rId200" w:tgtFrame="_blank" w:history="1">
        <w:r w:rsidRPr="00C0076E">
          <w:rPr>
            <w:rStyle w:val="af3"/>
            <w:rFonts w:ascii="Times New Roman" w:hAnsi="Times New Roman"/>
            <w:sz w:val="20"/>
            <w:szCs w:val="20"/>
          </w:rPr>
          <w:t>https://doi.org/10.31392/udu-nc.series15.2025.10(197).43</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Alkasasbeh WJ, Akroush SH. Sports motivation: a narrative review of psychological approaches to enhance athletic performance. Front Psychol. 2025;16. </w:t>
      </w:r>
      <w:hyperlink r:id="rId201" w:tgtFrame="_blank" w:history="1">
        <w:r w:rsidRPr="00C0076E">
          <w:rPr>
            <w:rStyle w:val="af3"/>
            <w:rFonts w:ascii="Times New Roman" w:hAnsi="Times New Roman"/>
            <w:sz w:val="20"/>
            <w:szCs w:val="20"/>
          </w:rPr>
          <w:t>https://doi.org/10.3389/fpsyg.2025.1645274</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DeCharms R. Personal causation: the internal affective determinants of behavior. New York: Academic Press; 1968. 398 p.</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Vasconcellos D, Parker PD, Hilland T, Cinelli R, Owen KB, Kapsal N, Lee J, Antczak D, Ntoumanis N, Ryan RM, Lonsdale C. Self-determination theory applied to physical education: a systematic review and meta-analysis. J Educ Psychol. 2020;112(7):1444-69. </w:t>
      </w:r>
      <w:hyperlink r:id="rId202" w:tgtFrame="_blank" w:history="1">
        <w:r w:rsidRPr="00C0076E">
          <w:rPr>
            <w:rStyle w:val="af3"/>
            <w:rFonts w:ascii="Times New Roman" w:hAnsi="Times New Roman"/>
            <w:sz w:val="20"/>
            <w:szCs w:val="20"/>
          </w:rPr>
          <w:t>https://doi.org/10.1037/edu0000420</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Mossman LH, Slemp GR, Lewis KJ, Colla RH, O’Halloran P. Autonomy support in sport and exercise settings: a systematic review and meta-analysis. Int Rev Exerc Psychol. 2022:1-24. </w:t>
      </w:r>
      <w:hyperlink r:id="rId203" w:tgtFrame="_blank" w:history="1">
        <w:r w:rsidRPr="00C0076E">
          <w:rPr>
            <w:rStyle w:val="af3"/>
            <w:rFonts w:ascii="Times New Roman" w:hAnsi="Times New Roman"/>
            <w:sz w:val="20"/>
            <w:szCs w:val="20"/>
          </w:rPr>
          <w:t>https://doi.org/10.1080/1750984x.2022.2031252</w:t>
        </w:r>
      </w:hyperlink>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White RW. Motivation reconsidered: The concept of competence. Psychological Review. 1959; 66(5):297-333. </w:t>
      </w:r>
      <w:hyperlink r:id="rId204" w:tgtFrame="_blank" w:history="1">
        <w:r w:rsidRPr="00C0076E">
          <w:rPr>
            <w:rStyle w:val="af3"/>
            <w:rFonts w:ascii="Times New Roman" w:hAnsi="Times New Roman"/>
            <w:sz w:val="20"/>
            <w:szCs w:val="20"/>
          </w:rPr>
          <w:t>https://doi.org/10.1037/h0040934</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Standage M. The Oxford Handbook of Self-Determination Theory. Oxford University Press; 2023. Self-Determination Theory Applied to Sport; p. 701-23. </w:t>
      </w:r>
      <w:hyperlink r:id="rId205" w:history="1">
        <w:r w:rsidRPr="00C0076E">
          <w:rPr>
            <w:rStyle w:val="af3"/>
            <w:rFonts w:ascii="Times New Roman" w:hAnsi="Times New Roman"/>
            <w:sz w:val="20"/>
            <w:szCs w:val="20"/>
          </w:rPr>
          <w:t>https://doi.org/10.1093/oxfordhb/9780197600047.013.35</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Reynders B, Vansteenkiste M, Van Puyenbroeck S, Aelterman N, De Backer M, Delrue J, De Muynck GJ, Fransen K, Haerens L, Broek GV. Coaching the coach: intervention effects on need-supportive coaching behavior and athlete motivation and engagement. Psychol Sport Exerc. 2019; 43:288-300. </w:t>
      </w:r>
      <w:hyperlink r:id="rId206" w:tgtFrame="_blank" w:history="1">
        <w:r w:rsidRPr="00C0076E">
          <w:rPr>
            <w:rStyle w:val="af3"/>
            <w:rFonts w:ascii="Times New Roman" w:hAnsi="Times New Roman"/>
            <w:sz w:val="20"/>
            <w:szCs w:val="20"/>
          </w:rPr>
          <w:t>https://doi.org/10.1016/j.psychsport.2019.04.002</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Schüler J, Wolff W, Duda JL. Sport and exercise psychology. Cham: Springer International Publishing; 2023. Intrinsic motivation in the context of sports; p. 171-92. </w:t>
      </w:r>
      <w:hyperlink r:id="rId207" w:history="1">
        <w:r w:rsidRPr="00C0076E">
          <w:rPr>
            <w:rStyle w:val="af3"/>
            <w:rFonts w:ascii="Times New Roman" w:hAnsi="Times New Roman"/>
            <w:sz w:val="20"/>
            <w:szCs w:val="20"/>
          </w:rPr>
          <w:t>https://doi.org/10.1007/978-3-031-03921-8_8</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Deci EL, Ryan RM. The "what" and "why" of goal pursuits: human needs and the self-determination of behavior. Psychol Inq. 2000;11(4):227-68. </w:t>
      </w:r>
      <w:hyperlink r:id="rId208" w:tgtFrame="_blank" w:history="1">
        <w:r w:rsidRPr="00C0076E">
          <w:rPr>
            <w:rStyle w:val="af3"/>
            <w:rFonts w:ascii="Times New Roman" w:hAnsi="Times New Roman"/>
            <w:sz w:val="20"/>
            <w:szCs w:val="20"/>
          </w:rPr>
          <w:t>https://doi.org/10.1207/s15327965pli1104_01</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Ryan RM, Deci EL, Vansteenkiste M, Soenens B. Building a science of motivated persons: self-determination theory’s empirical approach to human experience and the regulation of behavior. Motiv Sci. 2021; 7(2):97-110. </w:t>
      </w:r>
      <w:hyperlink r:id="rId209" w:tgtFrame="_blank" w:history="1">
        <w:r w:rsidRPr="00C0076E">
          <w:rPr>
            <w:rStyle w:val="af3"/>
            <w:rFonts w:ascii="Times New Roman" w:hAnsi="Times New Roman"/>
            <w:sz w:val="20"/>
            <w:szCs w:val="20"/>
          </w:rPr>
          <w:t>https://doi.org/10.1037/mot0000194</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Ntoumanis N, Ng JY, Prestwich A, Quested E, Hancox JE, </w:t>
      </w:r>
      <w:r w:rsidRPr="00C0076E">
        <w:rPr>
          <w:rFonts w:ascii="Times New Roman" w:hAnsi="Times New Roman"/>
          <w:sz w:val="20"/>
          <w:szCs w:val="20"/>
        </w:rPr>
        <w:br/>
        <w:t xml:space="preserve">Thøgersen-Ntoumani C, Deci EL, Ryan RM, Lonsdale C, Williams GC. A meta-analysis of self-determination theory-informed intervention studies in the </w:t>
      </w:r>
      <w:r w:rsidRPr="00C0076E">
        <w:rPr>
          <w:rFonts w:ascii="Times New Roman" w:hAnsi="Times New Roman"/>
          <w:sz w:val="20"/>
          <w:szCs w:val="20"/>
        </w:rPr>
        <w:br/>
        <w:t xml:space="preserve">health domain: effects on motivation, health behavior, physical, and psychological health. Health Psychol Rev. 2020:1-31. </w:t>
      </w:r>
      <w:hyperlink r:id="rId210" w:tgtFrame="_blank" w:history="1">
        <w:r w:rsidRPr="00C0076E">
          <w:rPr>
            <w:rStyle w:val="af3"/>
            <w:rFonts w:ascii="Times New Roman" w:hAnsi="Times New Roman"/>
            <w:sz w:val="20"/>
            <w:szCs w:val="20"/>
          </w:rPr>
          <w:t>https://doi.org/10.1080/17437199.2020.1718529</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Appleton PR, Viladrich C, Quested E, González-García L, Papaioannou A, Hall HK, Balaguer I, Ramis Y, Sarrazin P, Heuzé JP, Ommundsen Y, Wold B, Samdal O, Duda JL. Measurement invariance of the empowering and disempowering motivational climate questionnaire-coach in youth sport. Front Psychol. 2023;13. </w:t>
      </w:r>
      <w:hyperlink r:id="rId211" w:tgtFrame="_blank" w:history="1">
        <w:r w:rsidRPr="00C0076E">
          <w:rPr>
            <w:rStyle w:val="af3"/>
            <w:rFonts w:ascii="Times New Roman" w:hAnsi="Times New Roman"/>
            <w:sz w:val="20"/>
            <w:szCs w:val="20"/>
          </w:rPr>
          <w:t>https://doi.org/10.3389/fpsyg.2022.958444</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Liu HJ, De Jonge KM, Den Hartigh RJ, Van Yperen NW. Basic psychological need support, need satisfaction, and autonomous motivation in coach-athlete relationships: a systematic review and meta-analysis. Int J Sports Sci Amp Coach. 2025:1-14. </w:t>
      </w:r>
      <w:hyperlink r:id="rId212" w:tgtFrame="_blank" w:history="1">
        <w:r w:rsidRPr="00C0076E">
          <w:rPr>
            <w:rStyle w:val="af3"/>
            <w:rFonts w:ascii="Times New Roman" w:hAnsi="Times New Roman"/>
            <w:sz w:val="20"/>
            <w:szCs w:val="20"/>
          </w:rPr>
          <w:t>https://doi.org/10.1177/17479541251400621</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Monteiro D, Teixeira DS, Morales-Sanchéz V, Chica-Merino E, Matos R, Amaro N, Antunes R, Jacinto M. The relationship between coaches’ interpersonal behaviors, basic psychological needs, behavioral regulation, and intentions towards sport persistence. Int J Sci Amp Coach. 2025. </w:t>
      </w:r>
      <w:hyperlink r:id="rId213" w:tgtFrame="_blank" w:history="1">
        <w:r w:rsidRPr="00C0076E">
          <w:rPr>
            <w:rStyle w:val="af3"/>
            <w:rFonts w:ascii="Times New Roman" w:hAnsi="Times New Roman"/>
            <w:sz w:val="20"/>
            <w:szCs w:val="20"/>
          </w:rPr>
          <w:t>https://doi.org/10.1177/17479541251378385</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Fernández-Espínola C, Almagro BJ, Tamayo-Fajardo JA, Sáenz-López P. Complementing the self-determination theory with the need for novelty: motivation and intention to be physically active in physical education students. Front Psychol. 2020; 11. </w:t>
      </w:r>
      <w:hyperlink r:id="rId214" w:tgtFrame="_blank" w:history="1">
        <w:r w:rsidRPr="00C0076E">
          <w:rPr>
            <w:rStyle w:val="af3"/>
            <w:rFonts w:ascii="Times New Roman" w:hAnsi="Times New Roman"/>
            <w:sz w:val="20"/>
            <w:szCs w:val="20"/>
          </w:rPr>
          <w:t>https://doi.org/10.3389/fpsyg.2020.01535</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Hidi SE, Renninger KA. Interest development and its relation to curiosity: needed neuroscientific research. Educ Psychol Rev. 2019; 31(4):833-52. </w:t>
      </w:r>
      <w:hyperlink r:id="rId215" w:tgtFrame="_blank" w:history="1">
        <w:r w:rsidRPr="00C0076E">
          <w:rPr>
            <w:rStyle w:val="af3"/>
            <w:rFonts w:ascii="Times New Roman" w:hAnsi="Times New Roman"/>
            <w:sz w:val="20"/>
            <w:szCs w:val="20"/>
          </w:rPr>
          <w:t>https://doi.org/10.1007/s10648-019-09491-3</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Renninger KA, Bachrach JE, Hidi SE. Triggering and maintaining interest in early phases of interest development. Learn Cult Soc Interact. 2019;23:100260. </w:t>
      </w:r>
      <w:hyperlink r:id="rId216" w:tgtFrame="_blank" w:history="1">
        <w:r w:rsidRPr="00C0076E">
          <w:rPr>
            <w:rStyle w:val="af3"/>
            <w:rFonts w:ascii="Times New Roman" w:hAnsi="Times New Roman"/>
            <w:sz w:val="20"/>
            <w:szCs w:val="20"/>
          </w:rPr>
          <w:t>https://doi.org/10.1016/j.lcsi.2018.11.007</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Murayama K, FitzGibbon L, Sakaki M. Process account of curiosity and interest: a reward-learning perspective. Educ Psychol Rev. 2019; 31(4):875-95. </w:t>
      </w:r>
      <w:hyperlink r:id="rId217" w:tgtFrame="_blank" w:history="1">
        <w:r w:rsidRPr="00C0076E">
          <w:rPr>
            <w:rStyle w:val="af3"/>
            <w:rFonts w:ascii="Times New Roman" w:hAnsi="Times New Roman"/>
            <w:sz w:val="20"/>
            <w:szCs w:val="20"/>
          </w:rPr>
          <w:t>https://doi.org/10.1007/s10648-019-09499-9</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Berlyne DE. Conflict, arousal, and curiosity. New York: McGraw-Hill Book Company; 1960. Stimulus selection and conflict. p. 1-17. </w:t>
      </w:r>
      <w:hyperlink r:id="rId218" w:tgtFrame="_blank" w:history="1">
        <w:r w:rsidRPr="00C0076E">
          <w:rPr>
            <w:rStyle w:val="af3"/>
            <w:rFonts w:ascii="Times New Roman" w:hAnsi="Times New Roman"/>
            <w:sz w:val="20"/>
            <w:szCs w:val="20"/>
          </w:rPr>
          <w:t>https://doi.org/10.1037/11164-001</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Piaget J. The principles of genetic epistemology. London: Routledge and K. Paul; 1972. 98 p.</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Csikszentmihalhi M. Finding flow: the psychology of engagement with everyday life. Basic Books; 2020. 192 p.</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lastRenderedPageBreak/>
        <w:t>Nakamura J, Tse DCK, Shandland S. Flow: the experience of intrinsic motivation. In: Ryan RM, editor. The Oxford handbook of human motivation. 2nd ed. Oxford: Oxford University Press; 2019. P. 169–186.</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Abuhamdeh S. Investigating the “flow” experience: key conceptual and operational issues. Front Psychol. 2020;11. </w:t>
      </w:r>
      <w:hyperlink r:id="rId219" w:tgtFrame="_blank" w:history="1">
        <w:r w:rsidRPr="00C0076E">
          <w:rPr>
            <w:rStyle w:val="af3"/>
            <w:rFonts w:ascii="Times New Roman" w:hAnsi="Times New Roman"/>
            <w:sz w:val="20"/>
            <w:szCs w:val="20"/>
          </w:rPr>
          <w:t>https://doi.org/10.3389/fpsyg.2020.00158</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Bayram A, Yalcin I, Sahin E, Ekinci NE, Talaghir LG, Iconomescu TM. The role of recreational flow experience and well-being on re-participation intention: recreational sport participants. Front Psychol. 2025;</w:t>
      </w:r>
      <w:r w:rsidRPr="00C0076E">
        <w:rPr>
          <w:rFonts w:ascii="Times New Roman" w:hAnsi="Times New Roman"/>
          <w:sz w:val="20"/>
          <w:szCs w:val="20"/>
          <w:lang w:val="ru-RU"/>
        </w:rPr>
        <w:t xml:space="preserve"> </w:t>
      </w:r>
      <w:r w:rsidRPr="00C0076E">
        <w:rPr>
          <w:rFonts w:ascii="Times New Roman" w:hAnsi="Times New Roman"/>
          <w:sz w:val="20"/>
          <w:szCs w:val="20"/>
        </w:rPr>
        <w:t xml:space="preserve">16. </w:t>
      </w:r>
      <w:hyperlink r:id="rId220" w:tgtFrame="_blank" w:history="1">
        <w:r w:rsidRPr="00C0076E">
          <w:rPr>
            <w:rStyle w:val="af3"/>
            <w:rFonts w:ascii="Times New Roman" w:hAnsi="Times New Roman"/>
            <w:sz w:val="20"/>
            <w:szCs w:val="20"/>
          </w:rPr>
          <w:t>https://doi.org/10.3389/fpsyg.2025.1574337</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Harris DJ, Allen KL, Vine SJ, Wilson MR. A systematic review and meta-analysis of the relationship between flow states and performance. Int Rev Sport Exerc Psychol. 2021. 1-29. </w:t>
      </w:r>
      <w:hyperlink r:id="rId221" w:history="1">
        <w:r w:rsidRPr="00C0076E">
          <w:rPr>
            <w:rStyle w:val="af3"/>
            <w:rFonts w:ascii="Times New Roman" w:hAnsi="Times New Roman"/>
            <w:sz w:val="20"/>
            <w:szCs w:val="20"/>
          </w:rPr>
          <w:t>https://doi.org/10.1080/1750984x.2021.1929402</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Folvarochnyi I, Hak A. Application of flow theory as an innovative approach in research on athlete motivation. Спорт Освіта Здоров’я. 2025; (1):27-32. </w:t>
      </w:r>
      <w:hyperlink r:id="rId222" w:history="1">
        <w:r w:rsidRPr="00C0076E">
          <w:rPr>
            <w:rStyle w:val="af3"/>
            <w:rFonts w:ascii="Times New Roman" w:hAnsi="Times New Roman"/>
            <w:sz w:val="20"/>
            <w:szCs w:val="20"/>
          </w:rPr>
          <w:t>https://doi.org/10.32782/sports-education/2025-1-5</w:t>
        </w:r>
      </w:hyperlink>
      <w:r w:rsidRPr="00C0076E">
        <w:rPr>
          <w:rFonts w:ascii="Times New Roman" w:hAnsi="Times New Roman"/>
          <w:sz w:val="20"/>
          <w:szCs w:val="20"/>
        </w:rPr>
        <w:t xml:space="preserve">. </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Vallerand RJ. Advances in experimental social psychology: Elsevier; 1997. Toward a hierarchical model of intrinsic and extrinsic motivation; p. 271-360. </w:t>
      </w:r>
      <w:hyperlink r:id="rId223" w:tgtFrame="_blank" w:history="1">
        <w:r w:rsidRPr="00C0076E">
          <w:rPr>
            <w:rStyle w:val="af3"/>
            <w:rFonts w:ascii="Times New Roman" w:hAnsi="Times New Roman"/>
            <w:sz w:val="20"/>
            <w:szCs w:val="20"/>
          </w:rPr>
          <w:t>https://doi.org/10.1016/s0065-2601(08)60019-2</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Gillet N, Vallerand RJ, Amoura S, Baldes B. Influence of coaches' autonomy support on athletes' motivation and sport performance: a test of the hierarchical model of intrinsic and extrinsic motivation. Psychol Sport Exerc. 2010;11(2):155-61. </w:t>
      </w:r>
      <w:hyperlink r:id="rId224" w:tgtFrame="_blank" w:history="1">
        <w:r w:rsidRPr="00C0076E">
          <w:rPr>
            <w:rStyle w:val="af3"/>
            <w:rFonts w:ascii="Times New Roman" w:hAnsi="Times New Roman"/>
            <w:sz w:val="20"/>
            <w:szCs w:val="20"/>
          </w:rPr>
          <w:t>https://doi.org/10.1016/j.psychsport.2009.10.004</w:t>
        </w:r>
      </w:hyperlink>
      <w:r w:rsidRPr="00C0076E">
        <w:rPr>
          <w:rFonts w:ascii="Times New Roman" w:hAnsi="Times New Roman"/>
          <w:sz w:val="20"/>
          <w:szCs w:val="20"/>
        </w:rPr>
        <w:t>.</w:t>
      </w:r>
    </w:p>
    <w:p w:rsidR="00B60EB5" w:rsidRPr="00C0076E" w:rsidRDefault="00B60EB5" w:rsidP="00B60EB5">
      <w:pPr>
        <w:pStyle w:val="af6"/>
        <w:numPr>
          <w:ilvl w:val="0"/>
          <w:numId w:val="28"/>
        </w:numPr>
        <w:spacing w:after="0" w:line="240" w:lineRule="auto"/>
        <w:ind w:left="0" w:firstLine="0"/>
        <w:contextualSpacing w:val="0"/>
        <w:jc w:val="both"/>
        <w:rPr>
          <w:rFonts w:ascii="Times New Roman" w:hAnsi="Times New Roman"/>
          <w:sz w:val="20"/>
          <w:szCs w:val="20"/>
        </w:rPr>
      </w:pPr>
      <w:r w:rsidRPr="00C0076E">
        <w:rPr>
          <w:rFonts w:ascii="Times New Roman" w:hAnsi="Times New Roman"/>
          <w:sz w:val="20"/>
          <w:szCs w:val="20"/>
        </w:rPr>
        <w:t xml:space="preserve">Núñez JL, León J. Testing the Relationships Between Global, Contextual, and Situational Motivation: A Longitudinal Study of the Horizontal, Top-down, and Bottom-up Effects. Rev Psicodidactica (Engl Ed ). 2018;23(1):9-16. </w:t>
      </w:r>
      <w:hyperlink r:id="rId225" w:tgtFrame="_blank" w:history="1">
        <w:r w:rsidRPr="00C0076E">
          <w:rPr>
            <w:rStyle w:val="af3"/>
            <w:rFonts w:ascii="Times New Roman" w:hAnsi="Times New Roman"/>
            <w:sz w:val="20"/>
            <w:szCs w:val="20"/>
          </w:rPr>
          <w:t>https://doi.org/10.1016/j.psicoe.2017.07.003</w:t>
        </w:r>
      </w:hyperlink>
      <w:r w:rsidRPr="00C0076E">
        <w:rPr>
          <w:rFonts w:ascii="Times New Roman" w:hAnsi="Times New Roman"/>
          <w:sz w:val="20"/>
          <w:szCs w:val="20"/>
        </w:rPr>
        <w:t>.</w:t>
      </w:r>
    </w:p>
    <w:p w:rsidR="00B60EB5" w:rsidRDefault="00B60EB5" w:rsidP="00B60EB5">
      <w:pPr>
        <w:spacing w:after="0" w:line="240" w:lineRule="auto"/>
        <w:rPr>
          <w:b/>
          <w:bCs/>
          <w:sz w:val="20"/>
          <w:szCs w:val="20"/>
          <w:lang w:val="en-US"/>
        </w:rPr>
      </w:pPr>
    </w:p>
    <w:p w:rsidR="00B60EB5" w:rsidRPr="006A623D" w:rsidRDefault="00B60EB5" w:rsidP="00B60EB5">
      <w:pPr>
        <w:pStyle w:val="Default"/>
        <w:ind w:left="1080"/>
        <w:jc w:val="both"/>
        <w:rPr>
          <w:color w:val="auto"/>
          <w:sz w:val="20"/>
          <w:szCs w:val="20"/>
        </w:rPr>
      </w:pPr>
    </w:p>
    <w:tbl>
      <w:tblPr>
        <w:tblStyle w:val="a6"/>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B60EB5" w:rsidRPr="006A623D" w:rsidTr="00C07F42">
        <w:tc>
          <w:tcPr>
            <w:tcW w:w="9286" w:type="dxa"/>
            <w:tcBorders>
              <w:top w:val="nil"/>
              <w:left w:val="nil"/>
              <w:bottom w:val="dashSmallGap" w:sz="4" w:space="0" w:color="auto"/>
              <w:right w:val="nil"/>
            </w:tcBorders>
            <w:shd w:val="clear" w:color="auto" w:fill="BFBFBF" w:themeFill="background1" w:themeFillShade="BF"/>
            <w:hideMark/>
          </w:tcPr>
          <w:p w:rsidR="00B60EB5" w:rsidRPr="006A623D" w:rsidRDefault="00B60EB5" w:rsidP="00B60EB5">
            <w:pPr>
              <w:pStyle w:val="af4"/>
              <w:spacing w:beforeAutospacing="0" w:afterAutospacing="0"/>
              <w:jc w:val="both"/>
              <w:rPr>
                <w:b/>
                <w:sz w:val="20"/>
                <w:szCs w:val="20"/>
              </w:rPr>
            </w:pPr>
            <w:r w:rsidRPr="006A623D">
              <w:rPr>
                <w:b/>
                <w:sz w:val="20"/>
              </w:rPr>
              <w:t>Цитування на</w:t>
            </w:r>
            <w:r w:rsidRPr="006A623D">
              <w:rPr>
                <w:b/>
                <w:spacing w:val="2"/>
                <w:sz w:val="20"/>
              </w:rPr>
              <w:t xml:space="preserve"> </w:t>
            </w:r>
            <w:r w:rsidRPr="006A623D">
              <w:rPr>
                <w:b/>
                <w:sz w:val="20"/>
              </w:rPr>
              <w:t>цю статтю:</w:t>
            </w:r>
          </w:p>
        </w:tc>
      </w:tr>
      <w:tr w:rsidR="00B60EB5" w:rsidRPr="006A623D" w:rsidTr="00C07F42">
        <w:tc>
          <w:tcPr>
            <w:tcW w:w="9286" w:type="dxa"/>
            <w:tcBorders>
              <w:top w:val="dashSmallGap" w:sz="4" w:space="0" w:color="auto"/>
              <w:left w:val="nil"/>
              <w:bottom w:val="dashSmallGap" w:sz="4" w:space="0" w:color="auto"/>
              <w:right w:val="nil"/>
            </w:tcBorders>
            <w:hideMark/>
          </w:tcPr>
          <w:p w:rsidR="00B60EB5" w:rsidRPr="009A0338" w:rsidRDefault="00B60EB5" w:rsidP="00577D33">
            <w:pPr>
              <w:spacing w:after="0"/>
              <w:jc w:val="both"/>
              <w:rPr>
                <w:i/>
                <w:sz w:val="20"/>
                <w:szCs w:val="20"/>
              </w:rPr>
            </w:pPr>
            <w:r w:rsidRPr="00B60EB5">
              <w:rPr>
                <w:iCs/>
                <w:sz w:val="20"/>
                <w:szCs w:val="20"/>
                <w:lang w:val="uk-UA"/>
              </w:rPr>
              <w:t>Гак А.,</w:t>
            </w:r>
            <w:r w:rsidRPr="00B60EB5">
              <w:rPr>
                <w:spacing w:val="1"/>
                <w:sz w:val="20"/>
                <w:szCs w:val="20"/>
                <w:lang w:val="uk-UA"/>
              </w:rPr>
              <w:t xml:space="preserve"> </w:t>
            </w:r>
            <w:r w:rsidRPr="00B60EB5">
              <w:rPr>
                <w:spacing w:val="-6"/>
                <w:sz w:val="20"/>
                <w:szCs w:val="20"/>
                <w:lang w:val="uk-UA"/>
              </w:rPr>
              <w:t xml:space="preserve"> </w:t>
            </w:r>
            <w:r w:rsidRPr="00B60EB5">
              <w:rPr>
                <w:iCs/>
                <w:sz w:val="20"/>
                <w:szCs w:val="20"/>
                <w:lang w:val="uk-UA"/>
              </w:rPr>
              <w:t xml:space="preserve">Фольварочний І., Лі Ч., Ву Ю. </w:t>
            </w:r>
            <w:r w:rsidRPr="00B60EB5">
              <w:rPr>
                <w:bCs/>
                <w:sz w:val="20"/>
                <w:szCs w:val="20"/>
                <w:lang w:val="uk-UA"/>
              </w:rPr>
              <w:t>Інтегративний підхід до розуміння внутрішньої мотивації спортсменів</w:t>
            </w:r>
            <w:r w:rsidRPr="00B60EB5">
              <w:rPr>
                <w:spacing w:val="-6"/>
                <w:sz w:val="20"/>
                <w:szCs w:val="20"/>
                <w:lang w:val="uk-UA"/>
              </w:rPr>
              <w:t xml:space="preserve">. </w:t>
            </w:r>
            <w:r w:rsidRPr="009A0338">
              <w:rPr>
                <w:sz w:val="20"/>
                <w:szCs w:val="20"/>
              </w:rPr>
              <w:t xml:space="preserve">Вісник Прикарпатського університету. </w:t>
            </w:r>
            <w:r w:rsidRPr="009A0338">
              <w:rPr>
                <w:spacing w:val="-6"/>
                <w:sz w:val="20"/>
                <w:szCs w:val="20"/>
              </w:rPr>
              <w:t>Серія: Фізична культура. 202</w:t>
            </w:r>
            <w:r>
              <w:rPr>
                <w:spacing w:val="-6"/>
                <w:sz w:val="20"/>
                <w:szCs w:val="20"/>
              </w:rPr>
              <w:t>6</w:t>
            </w:r>
            <w:r w:rsidRPr="009A0338">
              <w:rPr>
                <w:spacing w:val="-6"/>
                <w:sz w:val="20"/>
                <w:szCs w:val="20"/>
              </w:rPr>
              <w:t xml:space="preserve"> </w:t>
            </w:r>
            <w:r w:rsidRPr="00323A10">
              <w:rPr>
                <w:spacing w:val="-6"/>
                <w:sz w:val="20"/>
                <w:szCs w:val="20"/>
              </w:rPr>
              <w:t>Травень 05</w:t>
            </w:r>
            <w:r w:rsidRPr="009A0338">
              <w:rPr>
                <w:spacing w:val="-6"/>
                <w:sz w:val="20"/>
                <w:szCs w:val="20"/>
              </w:rPr>
              <w:t>; 4</w:t>
            </w:r>
            <w:r>
              <w:rPr>
                <w:spacing w:val="-6"/>
                <w:sz w:val="20"/>
                <w:szCs w:val="20"/>
              </w:rPr>
              <w:t>6</w:t>
            </w:r>
            <w:r w:rsidRPr="009A0338">
              <w:rPr>
                <w:spacing w:val="-6"/>
                <w:sz w:val="20"/>
                <w:szCs w:val="20"/>
              </w:rPr>
              <w:t xml:space="preserve">: </w:t>
            </w:r>
            <w:r>
              <w:rPr>
                <w:spacing w:val="-6"/>
                <w:sz w:val="20"/>
                <w:szCs w:val="20"/>
              </w:rPr>
              <w:t>69</w:t>
            </w:r>
            <w:r w:rsidRPr="009A0338">
              <w:rPr>
                <w:spacing w:val="-6"/>
                <w:sz w:val="20"/>
                <w:szCs w:val="20"/>
              </w:rPr>
              <w:t>-</w:t>
            </w:r>
            <w:r>
              <w:rPr>
                <w:spacing w:val="-6"/>
                <w:sz w:val="20"/>
                <w:szCs w:val="20"/>
              </w:rPr>
              <w:t>83</w:t>
            </w:r>
          </w:p>
        </w:tc>
      </w:tr>
    </w:tbl>
    <w:p w:rsidR="00B60EB5" w:rsidRPr="006A623D" w:rsidRDefault="00B60EB5" w:rsidP="00B60EB5">
      <w:pPr>
        <w:pStyle w:val="af4"/>
        <w:tabs>
          <w:tab w:val="left" w:pos="567"/>
        </w:tabs>
        <w:spacing w:beforeAutospacing="0" w:afterAutospacing="0"/>
        <w:jc w:val="center"/>
        <w:rPr>
          <w:sz w:val="20"/>
          <w:szCs w:val="20"/>
        </w:rPr>
      </w:pPr>
    </w:p>
    <w:tbl>
      <w:tblPr>
        <w:tblStyle w:val="a6"/>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B60EB5" w:rsidRPr="006A623D" w:rsidTr="00C07F42">
        <w:tc>
          <w:tcPr>
            <w:tcW w:w="9286" w:type="dxa"/>
            <w:tcBorders>
              <w:top w:val="nil"/>
              <w:left w:val="nil"/>
              <w:bottom w:val="dashSmallGap" w:sz="4" w:space="0" w:color="auto"/>
              <w:right w:val="nil"/>
            </w:tcBorders>
            <w:shd w:val="clear" w:color="auto" w:fill="BFBFBF" w:themeFill="background1" w:themeFillShade="BF"/>
            <w:hideMark/>
          </w:tcPr>
          <w:p w:rsidR="00B60EB5" w:rsidRPr="006A623D" w:rsidRDefault="00B60EB5" w:rsidP="00B60EB5">
            <w:pPr>
              <w:pStyle w:val="af4"/>
              <w:spacing w:beforeAutospacing="0" w:afterAutospacing="0"/>
              <w:jc w:val="both"/>
              <w:rPr>
                <w:b/>
                <w:sz w:val="20"/>
                <w:szCs w:val="20"/>
              </w:rPr>
            </w:pPr>
            <w:r w:rsidRPr="006A623D">
              <w:rPr>
                <w:b/>
                <w:sz w:val="20"/>
                <w:szCs w:val="20"/>
              </w:rPr>
              <w:t>Відомості про авторів</w:t>
            </w:r>
          </w:p>
        </w:tc>
      </w:tr>
      <w:tr w:rsidR="00B60EB5" w:rsidRPr="006A623D" w:rsidTr="00C07F42">
        <w:tc>
          <w:tcPr>
            <w:tcW w:w="9286" w:type="dxa"/>
            <w:tcBorders>
              <w:top w:val="dashed" w:sz="12" w:space="0" w:color="auto"/>
              <w:left w:val="nil"/>
              <w:bottom w:val="dashed" w:sz="12" w:space="0" w:color="auto"/>
              <w:right w:val="dashed" w:sz="12" w:space="0" w:color="auto"/>
            </w:tcBorders>
          </w:tcPr>
          <w:p w:rsidR="00B60EB5" w:rsidRPr="00B60EB5" w:rsidRDefault="00B60EB5" w:rsidP="00B60EB5">
            <w:pPr>
              <w:pStyle w:val="af4"/>
              <w:spacing w:beforeAutospacing="0" w:afterAutospacing="0" w:line="240" w:lineRule="auto"/>
              <w:rPr>
                <w:sz w:val="20"/>
                <w:szCs w:val="20"/>
                <w:lang w:val="uk-UA"/>
              </w:rPr>
            </w:pPr>
            <w:r w:rsidRPr="00B60EB5">
              <w:rPr>
                <w:rStyle w:val="a5"/>
                <w:i/>
                <w:sz w:val="20"/>
                <w:szCs w:val="20"/>
                <w:lang w:val="uk-UA"/>
              </w:rPr>
              <w:t>Гак Антон</w:t>
            </w:r>
            <w:r w:rsidRPr="00B60EB5">
              <w:rPr>
                <w:b/>
                <w:i/>
                <w:sz w:val="20"/>
                <w:szCs w:val="20"/>
                <w:lang w:val="uk-UA"/>
              </w:rPr>
              <w:t xml:space="preserve"> Олександрович</w:t>
            </w:r>
            <w:r w:rsidRPr="00B60EB5">
              <w:rPr>
                <w:sz w:val="20"/>
                <w:szCs w:val="20"/>
                <w:lang w:val="uk-UA"/>
              </w:rPr>
              <w:t xml:space="preserve"> – аспірант кафедри психології і педагогіки, Національний університет фізичного виховання і спорту України (Київ, Україна). </w:t>
            </w:r>
          </w:p>
          <w:p w:rsidR="00B60EB5" w:rsidRPr="00130696" w:rsidRDefault="00B60EB5" w:rsidP="00B60EB5">
            <w:pPr>
              <w:pStyle w:val="af4"/>
              <w:spacing w:beforeAutospacing="0" w:afterAutospacing="0" w:line="240" w:lineRule="auto"/>
              <w:rPr>
                <w:sz w:val="20"/>
                <w:szCs w:val="20"/>
              </w:rPr>
            </w:pPr>
            <w:r w:rsidRPr="00130696">
              <w:rPr>
                <w:sz w:val="20"/>
                <w:szCs w:val="20"/>
              </w:rPr>
              <w:t xml:space="preserve">e-mail: </w:t>
            </w:r>
            <w:hyperlink r:id="rId226" w:history="1">
              <w:r w:rsidRPr="00130696">
                <w:rPr>
                  <w:rStyle w:val="af3"/>
                  <w:sz w:val="20"/>
                  <w:szCs w:val="20"/>
                </w:rPr>
                <w:t>gakanton@gmail.com</w:t>
              </w:r>
            </w:hyperlink>
          </w:p>
          <w:p w:rsidR="00B60EB5" w:rsidRPr="00130696" w:rsidRDefault="003D6B4F" w:rsidP="00B60EB5">
            <w:pPr>
              <w:pStyle w:val="af4"/>
              <w:spacing w:beforeAutospacing="0" w:afterAutospacing="0" w:line="240" w:lineRule="auto"/>
              <w:rPr>
                <w:sz w:val="20"/>
                <w:szCs w:val="20"/>
                <w:u w:val="single"/>
              </w:rPr>
            </w:pPr>
            <w:hyperlink r:id="rId227" w:history="1">
              <w:r w:rsidR="00B60EB5" w:rsidRPr="00130696">
                <w:rPr>
                  <w:rStyle w:val="af3"/>
                  <w:sz w:val="20"/>
                  <w:szCs w:val="20"/>
                </w:rPr>
                <w:t>https://orcid.org/0009-0009-5968-6557</w:t>
              </w:r>
            </w:hyperlink>
          </w:p>
        </w:tc>
      </w:tr>
      <w:tr w:rsidR="00B60EB5" w:rsidRPr="006A623D" w:rsidTr="00C07F42">
        <w:tc>
          <w:tcPr>
            <w:tcW w:w="9286" w:type="dxa"/>
            <w:tcBorders>
              <w:top w:val="dashed" w:sz="12" w:space="0" w:color="auto"/>
              <w:left w:val="nil"/>
              <w:bottom w:val="dashed" w:sz="12" w:space="0" w:color="auto"/>
              <w:right w:val="dashed" w:sz="12" w:space="0" w:color="auto"/>
            </w:tcBorders>
          </w:tcPr>
          <w:p w:rsidR="00B60EB5" w:rsidRPr="00B60EB5" w:rsidRDefault="00B60EB5" w:rsidP="00B60EB5">
            <w:pPr>
              <w:spacing w:after="0" w:line="240" w:lineRule="auto"/>
              <w:rPr>
                <w:bCs/>
                <w:sz w:val="20"/>
                <w:szCs w:val="20"/>
                <w:lang w:val="uk-UA"/>
              </w:rPr>
            </w:pPr>
            <w:r w:rsidRPr="00B60EB5">
              <w:rPr>
                <w:b/>
                <w:bCs/>
                <w:i/>
                <w:sz w:val="20"/>
                <w:szCs w:val="20"/>
                <w:lang w:val="uk-UA"/>
              </w:rPr>
              <w:t xml:space="preserve">Фольварочний Ігор Васильович – </w:t>
            </w:r>
            <w:r w:rsidRPr="00B60EB5">
              <w:rPr>
                <w:bCs/>
                <w:sz w:val="20"/>
                <w:szCs w:val="20"/>
                <w:lang w:val="uk-UA"/>
              </w:rPr>
              <w:t xml:space="preserve">професор, доктор пед. наук, професор кафедри психології і педагогіки, Національний університет фізичного виховання і спорту України (Київ, Україна). </w:t>
            </w:r>
          </w:p>
          <w:p w:rsidR="00B60EB5" w:rsidRPr="00B60EB5" w:rsidRDefault="00B60EB5" w:rsidP="00B60EB5">
            <w:pPr>
              <w:spacing w:after="0" w:line="240" w:lineRule="auto"/>
              <w:rPr>
                <w:bCs/>
                <w:sz w:val="20"/>
                <w:szCs w:val="20"/>
                <w:lang w:val="en-US"/>
              </w:rPr>
            </w:pPr>
            <w:r w:rsidRPr="00B60EB5">
              <w:rPr>
                <w:bCs/>
                <w:sz w:val="20"/>
                <w:szCs w:val="20"/>
                <w:lang w:val="en-US"/>
              </w:rPr>
              <w:t>e-mail: igor.folv@gmail.com</w:t>
            </w:r>
          </w:p>
          <w:p w:rsidR="00B60EB5" w:rsidRPr="00130696" w:rsidRDefault="00B60EB5" w:rsidP="00B60EB5">
            <w:pPr>
              <w:pStyle w:val="af4"/>
              <w:spacing w:beforeAutospacing="0" w:afterAutospacing="0" w:line="240" w:lineRule="auto"/>
              <w:rPr>
                <w:sz w:val="20"/>
                <w:szCs w:val="20"/>
              </w:rPr>
            </w:pPr>
            <w:r w:rsidRPr="00130696">
              <w:rPr>
                <w:bCs/>
                <w:sz w:val="20"/>
                <w:szCs w:val="20"/>
              </w:rPr>
              <w:t>https://orcid.org/0000-0002-9369-0199</w:t>
            </w:r>
          </w:p>
        </w:tc>
      </w:tr>
      <w:tr w:rsidR="00B60EB5" w:rsidRPr="006A623D" w:rsidTr="00C07F42">
        <w:tc>
          <w:tcPr>
            <w:tcW w:w="9286" w:type="dxa"/>
            <w:tcBorders>
              <w:top w:val="dashed" w:sz="12" w:space="0" w:color="auto"/>
              <w:left w:val="nil"/>
              <w:bottom w:val="dashed" w:sz="12" w:space="0" w:color="auto"/>
              <w:right w:val="dashed" w:sz="12" w:space="0" w:color="auto"/>
            </w:tcBorders>
          </w:tcPr>
          <w:p w:rsidR="00B60EB5" w:rsidRPr="00B60EB5" w:rsidRDefault="00B60EB5" w:rsidP="00B60EB5">
            <w:pPr>
              <w:pStyle w:val="af4"/>
              <w:spacing w:beforeAutospacing="0" w:afterAutospacing="0" w:line="240" w:lineRule="auto"/>
              <w:rPr>
                <w:sz w:val="20"/>
                <w:szCs w:val="20"/>
                <w:lang w:val="uk-UA"/>
              </w:rPr>
            </w:pPr>
            <w:r w:rsidRPr="00B60EB5">
              <w:rPr>
                <w:rStyle w:val="a5"/>
                <w:i/>
                <w:sz w:val="20"/>
                <w:szCs w:val="20"/>
                <w:lang w:val="uk-UA"/>
              </w:rPr>
              <w:t>Лі Чен</w:t>
            </w:r>
            <w:r w:rsidRPr="00B60EB5">
              <w:rPr>
                <w:sz w:val="20"/>
                <w:szCs w:val="20"/>
                <w:lang w:val="uk-UA"/>
              </w:rPr>
              <w:t xml:space="preserve"> – аспірант кафедри психології і педагогіки, Національний університет фізичного виховання і спорту України (Київ, Україна). </w:t>
            </w:r>
          </w:p>
          <w:p w:rsidR="00B60EB5" w:rsidRPr="00130696" w:rsidRDefault="00B60EB5" w:rsidP="00B60EB5">
            <w:pPr>
              <w:pStyle w:val="af4"/>
              <w:spacing w:beforeAutospacing="0" w:afterAutospacing="0" w:line="240" w:lineRule="auto"/>
              <w:rPr>
                <w:sz w:val="20"/>
                <w:szCs w:val="20"/>
              </w:rPr>
            </w:pPr>
            <w:r w:rsidRPr="00130696">
              <w:rPr>
                <w:sz w:val="20"/>
                <w:szCs w:val="20"/>
              </w:rPr>
              <w:t xml:space="preserve">e-mail: </w:t>
            </w:r>
            <w:hyperlink r:id="rId228" w:history="1">
              <w:r w:rsidRPr="00130696">
                <w:rPr>
                  <w:rStyle w:val="af3"/>
                  <w:sz w:val="20"/>
                  <w:szCs w:val="20"/>
                </w:rPr>
                <w:t>lclclicheng0426@gmail.com</w:t>
              </w:r>
            </w:hyperlink>
          </w:p>
          <w:p w:rsidR="00B60EB5" w:rsidRPr="00B60EB5" w:rsidRDefault="003D6B4F" w:rsidP="00B60EB5">
            <w:pPr>
              <w:spacing w:after="0" w:line="240" w:lineRule="auto"/>
              <w:rPr>
                <w:bCs/>
                <w:i/>
                <w:iCs/>
                <w:sz w:val="20"/>
                <w:szCs w:val="20"/>
                <w:lang w:val="en-US"/>
              </w:rPr>
            </w:pPr>
            <w:hyperlink r:id="rId229" w:tgtFrame="_new" w:history="1">
              <w:r w:rsidR="00B60EB5" w:rsidRPr="00B60EB5">
                <w:rPr>
                  <w:rStyle w:val="af3"/>
                  <w:sz w:val="20"/>
                  <w:szCs w:val="20"/>
                  <w:lang w:val="en-US"/>
                </w:rPr>
                <w:t>https://orcid.org/0009-0000-4440-1234</w:t>
              </w:r>
            </w:hyperlink>
          </w:p>
        </w:tc>
      </w:tr>
      <w:tr w:rsidR="00B60EB5" w:rsidRPr="006A623D" w:rsidTr="00C07F42">
        <w:tc>
          <w:tcPr>
            <w:tcW w:w="9286" w:type="dxa"/>
            <w:tcBorders>
              <w:top w:val="dashed" w:sz="12" w:space="0" w:color="auto"/>
              <w:left w:val="nil"/>
              <w:bottom w:val="dashed" w:sz="12" w:space="0" w:color="auto"/>
              <w:right w:val="dashed" w:sz="12" w:space="0" w:color="auto"/>
            </w:tcBorders>
          </w:tcPr>
          <w:p w:rsidR="00B60EB5" w:rsidRPr="00B60EB5" w:rsidRDefault="00B60EB5" w:rsidP="00B60EB5">
            <w:pPr>
              <w:pStyle w:val="af4"/>
              <w:spacing w:beforeAutospacing="0" w:afterAutospacing="0" w:line="240" w:lineRule="auto"/>
              <w:rPr>
                <w:sz w:val="20"/>
                <w:szCs w:val="20"/>
                <w:lang w:val="uk-UA"/>
              </w:rPr>
            </w:pPr>
            <w:r w:rsidRPr="00B60EB5">
              <w:rPr>
                <w:rStyle w:val="a5"/>
                <w:i/>
                <w:sz w:val="20"/>
                <w:szCs w:val="20"/>
                <w:lang w:val="uk-UA"/>
              </w:rPr>
              <w:t>Ву Юньхуей</w:t>
            </w:r>
            <w:r w:rsidRPr="00B60EB5">
              <w:rPr>
                <w:sz w:val="20"/>
                <w:szCs w:val="20"/>
                <w:lang w:val="uk-UA"/>
              </w:rPr>
              <w:t xml:space="preserve"> – аспірант кафедри психології і педагогіки, Національний університет фізичного виховання і спорту України (Київ, Україна).</w:t>
            </w:r>
          </w:p>
          <w:p w:rsidR="00B60EB5" w:rsidRPr="00130696" w:rsidRDefault="00B60EB5" w:rsidP="00B60EB5">
            <w:pPr>
              <w:pStyle w:val="af4"/>
              <w:spacing w:beforeAutospacing="0" w:afterAutospacing="0" w:line="240" w:lineRule="auto"/>
              <w:rPr>
                <w:sz w:val="20"/>
                <w:szCs w:val="20"/>
              </w:rPr>
            </w:pPr>
            <w:r w:rsidRPr="00130696">
              <w:rPr>
                <w:sz w:val="20"/>
                <w:szCs w:val="20"/>
              </w:rPr>
              <w:t xml:space="preserve">e-mail: </w:t>
            </w:r>
            <w:hyperlink r:id="rId230" w:history="1">
              <w:r w:rsidRPr="00130696">
                <w:rPr>
                  <w:rStyle w:val="af3"/>
                  <w:sz w:val="20"/>
                  <w:szCs w:val="20"/>
                </w:rPr>
                <w:t>wuyunhui98@gmail.com</w:t>
              </w:r>
            </w:hyperlink>
          </w:p>
          <w:p w:rsidR="00B60EB5" w:rsidRPr="00130696" w:rsidRDefault="003D6B4F" w:rsidP="00B60EB5">
            <w:pPr>
              <w:pStyle w:val="af4"/>
              <w:spacing w:beforeAutospacing="0" w:afterAutospacing="0" w:line="240" w:lineRule="auto"/>
              <w:rPr>
                <w:rFonts w:eastAsia="Calibri"/>
                <w:b/>
                <w:bCs/>
                <w:sz w:val="20"/>
                <w:szCs w:val="20"/>
              </w:rPr>
            </w:pPr>
            <w:hyperlink r:id="rId231" w:tgtFrame="_new" w:history="1">
              <w:r w:rsidR="00B60EB5" w:rsidRPr="00130696">
                <w:rPr>
                  <w:rStyle w:val="af3"/>
                  <w:sz w:val="20"/>
                  <w:szCs w:val="20"/>
                </w:rPr>
                <w:t>https://orcid.org/0009-0005-1519-827X</w:t>
              </w:r>
            </w:hyperlink>
          </w:p>
        </w:tc>
      </w:tr>
    </w:tbl>
    <w:p w:rsidR="00B60EB5" w:rsidRDefault="00B60EB5" w:rsidP="00B60EB5">
      <w:pPr>
        <w:pStyle w:val="af6"/>
        <w:spacing w:after="0" w:line="240" w:lineRule="auto"/>
        <w:ind w:left="1080"/>
        <w:rPr>
          <w:sz w:val="24"/>
          <w:szCs w:val="24"/>
        </w:rPr>
      </w:pPr>
    </w:p>
    <w:p w:rsidR="00B60EB5" w:rsidRPr="00FA4F9C" w:rsidRDefault="00B60EB5" w:rsidP="00B60EB5">
      <w:pPr>
        <w:spacing w:after="0" w:line="240" w:lineRule="auto"/>
        <w:ind w:left="3544"/>
        <w:jc w:val="both"/>
        <w:rPr>
          <w:sz w:val="20"/>
          <w:szCs w:val="20"/>
        </w:rPr>
      </w:pPr>
      <w:r w:rsidRPr="00FA4F9C">
        <w:rPr>
          <w:sz w:val="20"/>
          <w:szCs w:val="20"/>
        </w:rPr>
        <w:t xml:space="preserve">Дата першого надходження статті до видання: </w:t>
      </w:r>
      <w:r>
        <w:rPr>
          <w:sz w:val="20"/>
          <w:szCs w:val="20"/>
        </w:rPr>
        <w:t>20</w:t>
      </w:r>
      <w:r w:rsidRPr="00FA4F9C">
        <w:rPr>
          <w:sz w:val="20"/>
          <w:szCs w:val="20"/>
        </w:rPr>
        <w:t>.0</w:t>
      </w:r>
      <w:r>
        <w:rPr>
          <w:sz w:val="20"/>
          <w:szCs w:val="20"/>
        </w:rPr>
        <w:t>4</w:t>
      </w:r>
      <w:r w:rsidRPr="00FA4F9C">
        <w:rPr>
          <w:sz w:val="20"/>
          <w:szCs w:val="20"/>
        </w:rPr>
        <w:t>.2026</w:t>
      </w:r>
    </w:p>
    <w:p w:rsidR="00B60EB5" w:rsidRPr="00FA4F9C" w:rsidRDefault="00B60EB5" w:rsidP="00B60EB5">
      <w:pPr>
        <w:spacing w:after="0" w:line="240" w:lineRule="auto"/>
        <w:ind w:left="3544"/>
        <w:jc w:val="both"/>
        <w:rPr>
          <w:sz w:val="20"/>
          <w:szCs w:val="20"/>
        </w:rPr>
      </w:pPr>
      <w:r w:rsidRPr="00FA4F9C">
        <w:rPr>
          <w:sz w:val="20"/>
          <w:szCs w:val="20"/>
        </w:rPr>
        <w:t>Дата прийняття статті до друку після рецензування: 2</w:t>
      </w:r>
      <w:r>
        <w:rPr>
          <w:sz w:val="20"/>
          <w:szCs w:val="20"/>
        </w:rPr>
        <w:t>9</w:t>
      </w:r>
      <w:r w:rsidRPr="00FA4F9C">
        <w:rPr>
          <w:sz w:val="20"/>
          <w:szCs w:val="20"/>
        </w:rPr>
        <w:t>.0</w:t>
      </w:r>
      <w:r>
        <w:rPr>
          <w:sz w:val="20"/>
          <w:szCs w:val="20"/>
        </w:rPr>
        <w:t>5</w:t>
      </w:r>
      <w:r w:rsidRPr="00FA4F9C">
        <w:rPr>
          <w:sz w:val="20"/>
          <w:szCs w:val="20"/>
        </w:rPr>
        <w:t>.2026</w:t>
      </w:r>
    </w:p>
    <w:p w:rsidR="00B60EB5" w:rsidRPr="00FA4F9C" w:rsidRDefault="00B60EB5" w:rsidP="00B60EB5">
      <w:pPr>
        <w:spacing w:after="0" w:line="240" w:lineRule="auto"/>
        <w:ind w:left="3544"/>
        <w:jc w:val="both"/>
        <w:rPr>
          <w:sz w:val="20"/>
          <w:szCs w:val="20"/>
        </w:rPr>
      </w:pPr>
      <w:r w:rsidRPr="00FA4F9C">
        <w:rPr>
          <w:sz w:val="20"/>
          <w:szCs w:val="20"/>
        </w:rPr>
        <w:t>Дата публікації (оприлюднення) статті: 30.0</w:t>
      </w:r>
      <w:r>
        <w:rPr>
          <w:sz w:val="20"/>
          <w:szCs w:val="20"/>
        </w:rPr>
        <w:t>5</w:t>
      </w:r>
      <w:r w:rsidRPr="00FA4F9C">
        <w:rPr>
          <w:sz w:val="20"/>
          <w:szCs w:val="20"/>
        </w:rPr>
        <w:t>.2026</w:t>
      </w:r>
    </w:p>
    <w:p w:rsidR="00B60EB5" w:rsidRPr="008A43A5" w:rsidRDefault="00B60EB5" w:rsidP="00B60EB5">
      <w:pPr>
        <w:pStyle w:val="af6"/>
        <w:spacing w:after="0" w:line="240" w:lineRule="auto"/>
        <w:ind w:left="1080"/>
        <w:rPr>
          <w:sz w:val="24"/>
          <w:szCs w:val="24"/>
        </w:rPr>
      </w:pPr>
    </w:p>
    <w:p w:rsidR="00076B11" w:rsidRDefault="00076B11">
      <w:pPr>
        <w:spacing w:after="160" w:line="259" w:lineRule="auto"/>
        <w:rPr>
          <w:rFonts w:ascii="Calibri" w:hAnsi="Calibri"/>
          <w:sz w:val="24"/>
          <w:szCs w:val="24"/>
          <w:lang w:val="en-US"/>
        </w:rPr>
      </w:pPr>
      <w:r>
        <w:rPr>
          <w:sz w:val="24"/>
          <w:szCs w:val="24"/>
        </w:rPr>
        <w:br w:type="page"/>
      </w: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5501"/>
      </w:tblGrid>
      <w:tr w:rsidR="00430A25" w:rsidRPr="00430A25" w:rsidTr="00C07F42">
        <w:tc>
          <w:tcPr>
            <w:tcW w:w="3785" w:type="dxa"/>
          </w:tcPr>
          <w:p w:rsidR="00802413" w:rsidRDefault="00802413" w:rsidP="00430A25">
            <w:pPr>
              <w:spacing w:after="0" w:line="240" w:lineRule="auto"/>
              <w:rPr>
                <w:b/>
                <w:sz w:val="20"/>
                <w:szCs w:val="20"/>
                <w:lang w:eastAsia="uk-UA"/>
              </w:rPr>
            </w:pPr>
          </w:p>
          <w:p w:rsidR="00430A25" w:rsidRPr="00430A25" w:rsidRDefault="00430A25" w:rsidP="00430A25">
            <w:pPr>
              <w:spacing w:after="0" w:line="240" w:lineRule="auto"/>
              <w:rPr>
                <w:b/>
                <w:sz w:val="20"/>
                <w:szCs w:val="20"/>
                <w:lang w:eastAsia="uk-UA"/>
              </w:rPr>
            </w:pPr>
            <w:r w:rsidRPr="00430A25">
              <w:rPr>
                <w:b/>
                <w:sz w:val="20"/>
                <w:szCs w:val="20"/>
                <w:lang w:eastAsia="uk-UA"/>
              </w:rPr>
              <w:t>УДК 796.524:796.015.134</w:t>
            </w:r>
          </w:p>
          <w:p w:rsidR="00430A25" w:rsidRPr="00430A25" w:rsidRDefault="00430A25" w:rsidP="00430A25">
            <w:pPr>
              <w:spacing w:after="0" w:line="240" w:lineRule="auto"/>
              <w:rPr>
                <w:b/>
                <w:sz w:val="20"/>
                <w:szCs w:val="20"/>
                <w:lang w:eastAsia="uk-UA"/>
              </w:rPr>
            </w:pPr>
            <w:r w:rsidRPr="00430A25">
              <w:rPr>
                <w:b/>
                <w:sz w:val="20"/>
                <w:szCs w:val="20"/>
                <w:lang w:eastAsia="uk-UA"/>
              </w:rPr>
              <w:t>doi:</w:t>
            </w:r>
            <w:r w:rsidRPr="00430A25">
              <w:rPr>
                <w:rFonts w:eastAsia="SimSun"/>
                <w:b/>
                <w:kern w:val="1"/>
                <w:sz w:val="20"/>
                <w:szCs w:val="20"/>
                <w:lang w:eastAsia="zh-CN" w:bidi="hi-IN"/>
              </w:rPr>
              <w:t>10.15330/fcult.84-90</w:t>
            </w:r>
          </w:p>
        </w:tc>
        <w:tc>
          <w:tcPr>
            <w:tcW w:w="5501" w:type="dxa"/>
          </w:tcPr>
          <w:p w:rsidR="00802413" w:rsidRDefault="00802413" w:rsidP="00430A25">
            <w:pPr>
              <w:spacing w:after="0" w:line="240" w:lineRule="auto"/>
              <w:jc w:val="right"/>
              <w:rPr>
                <w:b/>
                <w:bCs/>
                <w:i/>
                <w:iCs/>
                <w:sz w:val="20"/>
                <w:szCs w:val="20"/>
              </w:rPr>
            </w:pPr>
          </w:p>
          <w:p w:rsidR="00430A25" w:rsidRPr="00430A25" w:rsidRDefault="00430A25" w:rsidP="00430A25">
            <w:pPr>
              <w:spacing w:after="0" w:line="240" w:lineRule="auto"/>
              <w:jc w:val="right"/>
              <w:rPr>
                <w:b/>
                <w:i/>
                <w:sz w:val="20"/>
                <w:szCs w:val="20"/>
                <w:lang w:eastAsia="uk-UA"/>
              </w:rPr>
            </w:pPr>
            <w:r w:rsidRPr="00430A25">
              <w:rPr>
                <w:b/>
                <w:bCs/>
                <w:i/>
                <w:iCs/>
                <w:sz w:val="20"/>
                <w:szCs w:val="20"/>
              </w:rPr>
              <w:t>Дар’я Риженко</w:t>
            </w:r>
          </w:p>
        </w:tc>
      </w:tr>
    </w:tbl>
    <w:p w:rsidR="00430A25" w:rsidRPr="00430A25" w:rsidRDefault="00430A25" w:rsidP="00430A25">
      <w:pPr>
        <w:spacing w:after="0" w:line="240" w:lineRule="auto"/>
        <w:ind w:firstLine="709"/>
        <w:jc w:val="right"/>
        <w:rPr>
          <w:rFonts w:eastAsia="Calibri"/>
          <w:b/>
          <w:sz w:val="24"/>
          <w:szCs w:val="24"/>
          <w:lang w:val="ru-RU" w:eastAsia="ru-RU"/>
        </w:rPr>
      </w:pPr>
    </w:p>
    <w:p w:rsidR="00430A25" w:rsidRPr="00430A25" w:rsidRDefault="00430A25" w:rsidP="00430A25">
      <w:pPr>
        <w:spacing w:after="0" w:line="240" w:lineRule="auto"/>
        <w:jc w:val="center"/>
        <w:rPr>
          <w:rFonts w:eastAsia="Calibri"/>
          <w:b/>
          <w:sz w:val="24"/>
          <w:szCs w:val="24"/>
          <w:lang w:val="ru-RU" w:eastAsia="ru-RU"/>
        </w:rPr>
      </w:pPr>
      <w:r w:rsidRPr="00430A25">
        <w:rPr>
          <w:rFonts w:eastAsia="Calibri"/>
          <w:b/>
          <w:sz w:val="24"/>
          <w:szCs w:val="24"/>
          <w:lang w:val="ru-RU" w:eastAsia="ru-RU"/>
        </w:rPr>
        <w:t>АНАЛІЗ ПРАВИЛЬНОСТІ ВИКОНАННЯ ТЕХНІЧНОГО ПРИЙОМУ «СПУСК СПОРТСМЕНА ІЗ НАРОЩУВАННЯМ СПУСКОВИХ ТА СТРАХУВАЛЬНИХ МОТУЗОК» У ПРАКТИЦІ СПОРТИВНОГО ТУРИЗМУ</w:t>
      </w:r>
    </w:p>
    <w:p w:rsidR="00430A25" w:rsidRPr="00430A25" w:rsidRDefault="00430A25" w:rsidP="00430A25">
      <w:pPr>
        <w:spacing w:after="0" w:line="240" w:lineRule="auto"/>
        <w:jc w:val="both"/>
        <w:rPr>
          <w:rFonts w:eastAsia="Calibri"/>
          <w:b/>
          <w:i/>
          <w:sz w:val="24"/>
          <w:szCs w:val="24"/>
          <w:lang w:val="ru-RU" w:eastAsia="ru-RU"/>
        </w:rPr>
      </w:pPr>
    </w:p>
    <w:p w:rsidR="00430A25" w:rsidRPr="00430A25" w:rsidRDefault="00430A25" w:rsidP="00430A25">
      <w:pPr>
        <w:spacing w:after="0" w:line="240" w:lineRule="auto"/>
        <w:ind w:firstLine="709"/>
        <w:jc w:val="both"/>
        <w:rPr>
          <w:rFonts w:eastAsia="Calibri"/>
          <w:b/>
          <w:i/>
          <w:sz w:val="20"/>
          <w:szCs w:val="20"/>
          <w:lang w:eastAsia="ru-RU"/>
        </w:rPr>
      </w:pPr>
      <w:r w:rsidRPr="00430A25">
        <w:rPr>
          <w:rFonts w:eastAsia="Calibri"/>
          <w:b/>
          <w:iCs/>
          <w:sz w:val="20"/>
          <w:szCs w:val="20"/>
          <w:lang w:eastAsia="ru-RU"/>
        </w:rPr>
        <w:t>Резюме.</w:t>
      </w:r>
      <w:r w:rsidRPr="00430A25">
        <w:rPr>
          <w:rFonts w:eastAsia="Calibri"/>
          <w:b/>
          <w:i/>
          <w:sz w:val="20"/>
          <w:szCs w:val="20"/>
          <w:lang w:eastAsia="ru-RU"/>
        </w:rPr>
        <w:t xml:space="preserve"> </w:t>
      </w:r>
      <w:r w:rsidRPr="00430A25">
        <w:rPr>
          <w:rFonts w:eastAsia="Calibri"/>
          <w:b/>
          <w:iCs/>
          <w:sz w:val="20"/>
          <w:szCs w:val="20"/>
          <w:lang w:eastAsia="ru-RU"/>
        </w:rPr>
        <w:t>Мета</w:t>
      </w:r>
      <w:r w:rsidRPr="00430A25">
        <w:rPr>
          <w:rFonts w:eastAsia="Calibri"/>
          <w:bCs/>
          <w:iCs/>
          <w:sz w:val="20"/>
          <w:szCs w:val="20"/>
          <w:lang w:eastAsia="ru-RU"/>
        </w:rPr>
        <w:t xml:space="preserve"> – визначення єдиного підходу до оцінки правильності виконання технічного прийому «спуск спортсмена з нарощуванням спускових і страхувальних мотузок» під час виступу спортсмена на дистанціях особистих змагань зі спортивного гірського туризму. </w:t>
      </w:r>
      <w:r w:rsidRPr="00430A25">
        <w:rPr>
          <w:rFonts w:eastAsia="Calibri"/>
          <w:b/>
          <w:iCs/>
          <w:sz w:val="20"/>
          <w:szCs w:val="20"/>
          <w:lang w:eastAsia="ru-RU"/>
        </w:rPr>
        <w:t>Матеріали і методи:</w:t>
      </w:r>
      <w:r w:rsidRPr="00430A25">
        <w:rPr>
          <w:rFonts w:eastAsia="Calibri"/>
          <w:bCs/>
          <w:iCs/>
          <w:sz w:val="20"/>
          <w:szCs w:val="20"/>
          <w:lang w:eastAsia="ru-RU"/>
        </w:rPr>
        <w:t xml:space="preserve"> пошук, порівняльний аналіз та узагальнення теоретичних та практичних даних що містяться у літературних джерелах. Педагогічне спостереження за виступом спортсмена на дистанції змагань. Узагальнення та систематизація  отриманих даних. </w:t>
      </w:r>
      <w:r w:rsidRPr="00430A25">
        <w:rPr>
          <w:rFonts w:eastAsia="Calibri"/>
          <w:b/>
          <w:iCs/>
          <w:sz w:val="20"/>
          <w:szCs w:val="20"/>
          <w:lang w:eastAsia="ru-RU"/>
        </w:rPr>
        <w:t>Результати.</w:t>
      </w:r>
      <w:r w:rsidRPr="00430A25">
        <w:rPr>
          <w:rFonts w:eastAsia="Calibri"/>
          <w:bCs/>
          <w:iCs/>
          <w:sz w:val="20"/>
          <w:szCs w:val="20"/>
          <w:lang w:eastAsia="ru-RU"/>
        </w:rPr>
        <w:t xml:space="preserve"> Проведено аналіз правильності виконання, заходів забезпечення безпеки при виконанні даного технічного прийому при вступі спортсмена в соло режимі. Проведено синхронізацію вимог до правильності виконання технічного прийому з описаним в нормативних документах підходом, що регламентує виконання даного технічного прийому в умовах командної роботи. </w:t>
      </w:r>
      <w:r w:rsidRPr="00430A25">
        <w:rPr>
          <w:rFonts w:eastAsia="Calibri"/>
          <w:b/>
          <w:iCs/>
          <w:sz w:val="20"/>
          <w:szCs w:val="20"/>
          <w:lang w:eastAsia="ru-RU"/>
        </w:rPr>
        <w:t>Висновки.</w:t>
      </w:r>
      <w:r w:rsidRPr="00430A25">
        <w:rPr>
          <w:rFonts w:eastAsia="Calibri"/>
          <w:bCs/>
          <w:iCs/>
          <w:sz w:val="20"/>
          <w:szCs w:val="20"/>
          <w:lang w:eastAsia="ru-RU"/>
        </w:rPr>
        <w:t xml:space="preserve"> Проведено синхронізацію підходів до правильності виконання даного технічного прийому з описаним в нормативних документах підходом, що регламентує виконання цього технічного прийому в умовах командної роботи. Визначено шляхи подальших досліджень в даній області.</w:t>
      </w:r>
    </w:p>
    <w:p w:rsidR="00430A25" w:rsidRPr="00430A25" w:rsidRDefault="00430A25" w:rsidP="00430A25">
      <w:pPr>
        <w:spacing w:after="0" w:line="240" w:lineRule="auto"/>
        <w:ind w:firstLine="709"/>
        <w:jc w:val="both"/>
        <w:rPr>
          <w:rFonts w:eastAsia="Calibri"/>
          <w:sz w:val="20"/>
          <w:szCs w:val="20"/>
          <w:lang w:eastAsia="ru-RU"/>
        </w:rPr>
      </w:pPr>
      <w:r w:rsidRPr="00430A25">
        <w:rPr>
          <w:rFonts w:eastAsia="Calibri"/>
          <w:b/>
          <w:sz w:val="20"/>
          <w:szCs w:val="20"/>
          <w:lang w:eastAsia="ru-RU"/>
        </w:rPr>
        <w:t xml:space="preserve">Ключові слова: </w:t>
      </w:r>
      <w:r w:rsidRPr="00430A25">
        <w:rPr>
          <w:rFonts w:eastAsia="Calibri"/>
          <w:sz w:val="20"/>
          <w:szCs w:val="20"/>
          <w:lang w:eastAsia="ru-RU"/>
        </w:rPr>
        <w:t>спортивний туризм, безпека виступу спортсмена, правила змагань, технічний прийом, нарощування мотузок</w:t>
      </w:r>
    </w:p>
    <w:p w:rsidR="00430A25" w:rsidRPr="00430A25" w:rsidRDefault="00430A25" w:rsidP="00430A25">
      <w:pPr>
        <w:spacing w:after="0" w:line="240" w:lineRule="auto"/>
        <w:ind w:firstLine="709"/>
        <w:jc w:val="both"/>
        <w:rPr>
          <w:rFonts w:eastAsia="Calibri"/>
          <w:sz w:val="20"/>
          <w:szCs w:val="20"/>
          <w:lang w:eastAsia="ru-RU"/>
        </w:rPr>
      </w:pPr>
    </w:p>
    <w:p w:rsidR="00430A25" w:rsidRPr="00430A25" w:rsidRDefault="00430A25" w:rsidP="00430A25">
      <w:pPr>
        <w:spacing w:after="0" w:line="240" w:lineRule="auto"/>
        <w:ind w:firstLine="709"/>
        <w:jc w:val="both"/>
        <w:rPr>
          <w:rFonts w:eastAsia="Calibri"/>
          <w:bCs/>
          <w:iCs/>
          <w:sz w:val="20"/>
          <w:szCs w:val="20"/>
          <w:lang w:val="en-US" w:eastAsia="ru-RU"/>
        </w:rPr>
      </w:pPr>
      <w:r w:rsidRPr="00430A25">
        <w:rPr>
          <w:rFonts w:eastAsia="Calibri"/>
          <w:b/>
          <w:iCs/>
          <w:sz w:val="20"/>
          <w:szCs w:val="20"/>
          <w:lang w:val="en-US" w:eastAsia="ru-RU"/>
        </w:rPr>
        <w:t>Summary.</w:t>
      </w:r>
      <w:r w:rsidRPr="00430A25">
        <w:rPr>
          <w:rFonts w:eastAsia="Calibri"/>
          <w:b/>
          <w:i/>
          <w:sz w:val="20"/>
          <w:szCs w:val="20"/>
          <w:lang w:val="en-US" w:eastAsia="ru-RU"/>
        </w:rPr>
        <w:t xml:space="preserve"> </w:t>
      </w:r>
      <w:r w:rsidRPr="00430A25">
        <w:rPr>
          <w:rFonts w:eastAsia="Calibri"/>
          <w:b/>
          <w:bCs/>
          <w:sz w:val="20"/>
          <w:szCs w:val="20"/>
          <w:shd w:val="clear" w:color="auto" w:fill="FFFFFF"/>
          <w:lang w:val="en-US" w:eastAsia="ru-RU"/>
        </w:rPr>
        <w:t>Purpose:</w:t>
      </w:r>
      <w:r w:rsidRPr="00430A25">
        <w:rPr>
          <w:rFonts w:eastAsia="Calibri"/>
          <w:sz w:val="20"/>
          <w:szCs w:val="20"/>
          <w:shd w:val="clear" w:color="auto" w:fill="FFFFFF"/>
          <w:lang w:eastAsia="ru-RU"/>
        </w:rPr>
        <w:t xml:space="preserve"> </w:t>
      </w:r>
      <w:r w:rsidRPr="00430A25">
        <w:rPr>
          <w:rFonts w:eastAsia="Calibri"/>
          <w:bCs/>
          <w:iCs/>
          <w:sz w:val="20"/>
          <w:szCs w:val="20"/>
          <w:lang w:val="en-US" w:eastAsia="ru-RU"/>
        </w:rPr>
        <w:t xml:space="preserve">The goal is to determine a unified approach to assessing the correctness of performing the technical technique of “lowering an athlete with the extension of lowering and safety ropes” during an athlete's performance in individual competitions in mountain tourism competitions. This technique is new and has not been used in sports competitions before. Therefore, there is no description of the correctness of its execution by a single athlete in the regulatory documents. </w:t>
      </w:r>
      <w:r w:rsidRPr="00430A25">
        <w:rPr>
          <w:rFonts w:eastAsia="Calibri"/>
          <w:b/>
          <w:iCs/>
          <w:sz w:val="20"/>
          <w:szCs w:val="20"/>
          <w:lang w:val="en-US" w:eastAsia="ru-RU"/>
        </w:rPr>
        <w:t>Materials and methods:</w:t>
      </w:r>
      <w:r w:rsidRPr="00430A25">
        <w:rPr>
          <w:rFonts w:eastAsia="Calibri"/>
          <w:bCs/>
          <w:iCs/>
          <w:sz w:val="20"/>
          <w:szCs w:val="20"/>
          <w:lang w:val="en-US" w:eastAsia="ru-RU"/>
        </w:rPr>
        <w:t xml:space="preserve"> search, comparative analysis, and generalization of theoretical and practical data contained in literary sources. Pedagogical observation of the athlete's performance at the competition distance. Generalization, systematization, and concretization of the data obtained. </w:t>
      </w:r>
      <w:r w:rsidRPr="00430A25">
        <w:rPr>
          <w:rFonts w:eastAsia="Calibri"/>
          <w:b/>
          <w:iCs/>
          <w:sz w:val="20"/>
          <w:szCs w:val="20"/>
          <w:lang w:val="en-US" w:eastAsia="ru-RU"/>
        </w:rPr>
        <w:t>Results.</w:t>
      </w:r>
      <w:r w:rsidRPr="00430A25">
        <w:rPr>
          <w:rFonts w:eastAsia="Calibri"/>
          <w:bCs/>
          <w:iCs/>
          <w:sz w:val="20"/>
          <w:szCs w:val="20"/>
          <w:lang w:val="en-US" w:eastAsia="ru-RU"/>
        </w:rPr>
        <w:t xml:space="preserve"> An analysis was conducted of the correctness of execution and safety measures when performing this technical maneuver during an athlete's entry into solo mode. It was determined that existing regulatory documents do not include this option for performing this technical maneuver. Regulatory requirements only describe descent performed by a team. The paper considers the necessary algorithm of actions when performing this technique. An analysis of the correctness of its execution in terms of compliance with safety conditions was carried out. The approaches to the correct execution of the technical technique were synchronized with the approach described in the regulatory documents governing the execution of this technical technique in team work conditions. </w:t>
      </w:r>
      <w:r w:rsidRPr="00430A25">
        <w:rPr>
          <w:rFonts w:eastAsia="Calibri"/>
          <w:b/>
          <w:iCs/>
          <w:sz w:val="20"/>
          <w:szCs w:val="20"/>
          <w:lang w:val="en-US" w:eastAsia="ru-RU"/>
        </w:rPr>
        <w:t>Conclusions</w:t>
      </w:r>
      <w:r w:rsidRPr="00430A25">
        <w:rPr>
          <w:rFonts w:eastAsia="Calibri"/>
          <w:bCs/>
          <w:iCs/>
          <w:sz w:val="20"/>
          <w:szCs w:val="20"/>
          <w:lang w:val="en-US" w:eastAsia="ru-RU"/>
        </w:rPr>
        <w:t>. Approaches to the correct execution of this technical technique have been synchronized with the approach described in regulatory documents governing the execution of this technical technique in teamwork conditions. Further research directions in this area have been identified.</w:t>
      </w:r>
    </w:p>
    <w:p w:rsidR="00430A25" w:rsidRPr="00430A25" w:rsidRDefault="00430A25" w:rsidP="00430A25">
      <w:pPr>
        <w:spacing w:after="0" w:line="240" w:lineRule="auto"/>
        <w:ind w:firstLine="709"/>
        <w:jc w:val="both"/>
        <w:rPr>
          <w:rFonts w:eastAsia="Calibri"/>
          <w:bCs/>
          <w:iCs/>
          <w:sz w:val="20"/>
          <w:szCs w:val="20"/>
          <w:lang w:eastAsia="ru-RU"/>
        </w:rPr>
      </w:pPr>
      <w:r w:rsidRPr="00430A25">
        <w:rPr>
          <w:rFonts w:eastAsia="Calibri"/>
          <w:b/>
          <w:iCs/>
          <w:sz w:val="20"/>
          <w:szCs w:val="20"/>
          <w:lang w:val="en-US" w:eastAsia="ru-RU"/>
        </w:rPr>
        <w:t>Keywords:</w:t>
      </w:r>
      <w:r w:rsidRPr="00430A25">
        <w:rPr>
          <w:rFonts w:eastAsia="Calibri"/>
          <w:bCs/>
          <w:iCs/>
          <w:sz w:val="20"/>
          <w:szCs w:val="20"/>
          <w:lang w:val="en-US" w:eastAsia="ru-RU"/>
        </w:rPr>
        <w:t xml:space="preserve"> sports tourism, athlete safety, competition rules, technical technique, rope climbing</w:t>
      </w:r>
    </w:p>
    <w:p w:rsidR="00430A25" w:rsidRPr="00430A25" w:rsidRDefault="00430A25" w:rsidP="00430A25">
      <w:pPr>
        <w:spacing w:after="0" w:line="240" w:lineRule="auto"/>
        <w:ind w:firstLine="709"/>
        <w:jc w:val="both"/>
        <w:rPr>
          <w:rFonts w:eastAsia="Calibri"/>
          <w:b/>
          <w:sz w:val="24"/>
          <w:szCs w:val="24"/>
          <w:lang w:eastAsia="ru-RU"/>
        </w:rPr>
      </w:pP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b/>
          <w:sz w:val="24"/>
          <w:szCs w:val="24"/>
          <w:lang w:eastAsia="ru-RU"/>
        </w:rPr>
        <w:t xml:space="preserve">Постановка проблеми й аналіз результатів останніх досліджень. </w:t>
      </w:r>
      <w:r w:rsidRPr="00430A25">
        <w:rPr>
          <w:rFonts w:eastAsia="Calibri"/>
          <w:sz w:val="24"/>
          <w:szCs w:val="24"/>
          <w:lang w:eastAsia="ru-RU"/>
        </w:rPr>
        <w:t>У практиці спортивного гірського туризму спуск учасника команди на маршруті, протяжність якого перевищує одиничну ділянку спуску, можливий трьома основними способами:</w:t>
      </w:r>
    </w:p>
    <w:p w:rsidR="00430A25" w:rsidRPr="00430A25" w:rsidRDefault="00430A25" w:rsidP="00430A25">
      <w:pPr>
        <w:numPr>
          <w:ilvl w:val="0"/>
          <w:numId w:val="33"/>
        </w:numPr>
        <w:tabs>
          <w:tab w:val="left" w:pos="993"/>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послідовний спуск по двох автономних ділянках спуску;</w:t>
      </w:r>
    </w:p>
    <w:p w:rsidR="00430A25" w:rsidRPr="00430A25" w:rsidRDefault="00430A25" w:rsidP="00430A25">
      <w:pPr>
        <w:numPr>
          <w:ilvl w:val="0"/>
          <w:numId w:val="33"/>
        </w:numPr>
        <w:tabs>
          <w:tab w:val="left" w:pos="993"/>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спуск по заздалегідь подовженій мотузці з пересадкою;</w:t>
      </w:r>
    </w:p>
    <w:p w:rsidR="00430A25" w:rsidRPr="00430A25" w:rsidRDefault="00430A25" w:rsidP="00430A25">
      <w:pPr>
        <w:numPr>
          <w:ilvl w:val="0"/>
          <w:numId w:val="33"/>
        </w:numPr>
        <w:tabs>
          <w:tab w:val="left" w:pos="993"/>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спуск з нарощуванням мотузки.</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Кожен із цих способів спуску має свої особливості виконання та способи забезпечення необхідного рівня безпеки під час його виконання. Відповідно, з точки зору забезпечення безпеки виступу спортсмена, для кожного з цих випадків виконання спуску повинні бути розроблені технічні рекомендації щодо їх виконання, які дозволяють підтримувати та контролювати правильність виконання обраного способу спуску [1,2,3].</w:t>
      </w:r>
    </w:p>
    <w:p w:rsidR="00802413" w:rsidRDefault="00802413" w:rsidP="00430A25">
      <w:pPr>
        <w:spacing w:after="0" w:line="240" w:lineRule="auto"/>
        <w:ind w:firstLine="709"/>
        <w:jc w:val="both"/>
        <w:rPr>
          <w:rFonts w:eastAsia="Calibri"/>
          <w:sz w:val="24"/>
          <w:szCs w:val="24"/>
          <w:lang w:eastAsia="ru-RU"/>
        </w:rPr>
      </w:pPr>
    </w:p>
    <w:p w:rsidR="00802413" w:rsidRDefault="00802413" w:rsidP="00430A25">
      <w:pPr>
        <w:spacing w:after="0" w:line="240" w:lineRule="auto"/>
        <w:ind w:firstLine="709"/>
        <w:jc w:val="both"/>
        <w:rPr>
          <w:rFonts w:eastAsia="Calibri"/>
          <w:sz w:val="24"/>
          <w:szCs w:val="24"/>
          <w:lang w:eastAsia="ru-RU"/>
        </w:rPr>
      </w:pPr>
    </w:p>
    <w:p w:rsidR="00430A25" w:rsidRPr="00430A25" w:rsidRDefault="00430A25" w:rsidP="00802413">
      <w:pPr>
        <w:spacing w:after="0" w:line="252" w:lineRule="auto"/>
        <w:ind w:firstLine="709"/>
        <w:jc w:val="both"/>
        <w:rPr>
          <w:rFonts w:eastAsia="Calibri"/>
          <w:sz w:val="24"/>
          <w:szCs w:val="24"/>
          <w:lang w:eastAsia="ru-RU"/>
        </w:rPr>
      </w:pPr>
      <w:r w:rsidRPr="00430A25">
        <w:rPr>
          <w:rFonts w:eastAsia="Calibri"/>
          <w:sz w:val="24"/>
          <w:szCs w:val="24"/>
          <w:lang w:eastAsia="ru-RU"/>
        </w:rPr>
        <w:t xml:space="preserve">Найбільш технічно складним і насиченим є спосіб виконання спуску, який в нормативних документах описується як спуск «на мотузці з нарощуванням транспортних та страхувальних мотузок». </w:t>
      </w:r>
    </w:p>
    <w:p w:rsidR="00802413" w:rsidRDefault="00802413" w:rsidP="00802413">
      <w:pPr>
        <w:framePr w:w="9091" w:h="653" w:hRule="exact" w:wrap="auto" w:vAnchor="page" w:hAnchor="page" w:x="1464" w:y="15609"/>
        <w:spacing w:line="240" w:lineRule="auto"/>
        <w:ind w:left="34"/>
        <w:rPr>
          <w:rFonts w:eastAsia="Calibri"/>
          <w:sz w:val="20"/>
          <w:szCs w:val="20"/>
          <w:lang w:eastAsia="ru-RU"/>
        </w:rPr>
      </w:pPr>
    </w:p>
    <w:p w:rsidR="00430A25" w:rsidRPr="00430A25" w:rsidRDefault="00430A25" w:rsidP="00802413">
      <w:pPr>
        <w:framePr w:w="9091" w:h="653" w:hRule="exact" w:wrap="auto" w:vAnchor="page" w:hAnchor="page" w:x="1464" w:y="15609"/>
        <w:spacing w:line="240" w:lineRule="auto"/>
        <w:ind w:left="34"/>
        <w:rPr>
          <w:rFonts w:eastAsia="Calibri"/>
          <w:sz w:val="20"/>
          <w:szCs w:val="20"/>
          <w:lang w:eastAsia="ru-RU"/>
        </w:rPr>
      </w:pPr>
      <w:r w:rsidRPr="00430A25">
        <w:rPr>
          <w:rFonts w:eastAsia="Calibri"/>
          <w:sz w:val="20"/>
          <w:szCs w:val="20"/>
          <w:lang w:eastAsia="ru-RU"/>
        </w:rPr>
        <w:t>©</w:t>
      </w:r>
      <w:r w:rsidRPr="00430A25">
        <w:rPr>
          <w:rFonts w:eastAsia="Calibri"/>
          <w:spacing w:val="33"/>
          <w:sz w:val="20"/>
          <w:szCs w:val="20"/>
          <w:lang w:eastAsia="ru-RU"/>
        </w:rPr>
        <w:t xml:space="preserve"> </w:t>
      </w:r>
      <w:r w:rsidRPr="00430A25">
        <w:rPr>
          <w:rFonts w:eastAsia="Calibri"/>
          <w:bCs/>
          <w:sz w:val="20"/>
          <w:szCs w:val="20"/>
          <w:lang w:eastAsia="ru-RU"/>
        </w:rPr>
        <w:t>Риженко Д.,</w:t>
      </w:r>
      <w:r w:rsidR="00802413">
        <w:rPr>
          <w:rFonts w:eastAsia="Calibri"/>
          <w:spacing w:val="1"/>
          <w:sz w:val="20"/>
          <w:szCs w:val="20"/>
          <w:lang w:eastAsia="ru-RU"/>
        </w:rPr>
        <w:t xml:space="preserve"> 2026</w:t>
      </w:r>
      <w:r w:rsidR="00802413">
        <w:rPr>
          <w:rFonts w:eastAsia="Calibri"/>
          <w:spacing w:val="1"/>
          <w:sz w:val="20"/>
          <w:szCs w:val="20"/>
          <w:lang w:eastAsia="ru-RU"/>
        </w:rPr>
        <w:tab/>
      </w:r>
      <w:r w:rsidR="00802413">
        <w:rPr>
          <w:rFonts w:eastAsia="Calibri"/>
          <w:spacing w:val="1"/>
          <w:sz w:val="20"/>
          <w:szCs w:val="20"/>
          <w:lang w:eastAsia="ru-RU"/>
        </w:rPr>
        <w:tab/>
      </w:r>
      <w:r w:rsidR="00802413">
        <w:rPr>
          <w:rFonts w:eastAsia="Calibri"/>
          <w:spacing w:val="1"/>
          <w:sz w:val="20"/>
          <w:szCs w:val="20"/>
          <w:lang w:eastAsia="ru-RU"/>
        </w:rPr>
        <w:tab/>
      </w:r>
      <w:r w:rsidR="00802413">
        <w:rPr>
          <w:rFonts w:eastAsia="Calibri"/>
          <w:spacing w:val="1"/>
          <w:sz w:val="20"/>
          <w:szCs w:val="20"/>
          <w:lang w:eastAsia="ru-RU"/>
        </w:rPr>
        <w:tab/>
        <w:t xml:space="preserve">         </w:t>
      </w:r>
      <w:r w:rsidRPr="00430A25">
        <w:rPr>
          <w:rFonts w:eastAsia="Calibri"/>
          <w:spacing w:val="1"/>
          <w:sz w:val="20"/>
          <w:szCs w:val="20"/>
          <w:lang w:eastAsia="ru-RU"/>
        </w:rPr>
        <w:t>Увесь контент ліцензовано за умовами СС BY 4.0</w:t>
      </w:r>
    </w:p>
    <w:p w:rsidR="00430A25" w:rsidRPr="00430A25" w:rsidRDefault="00430A25" w:rsidP="00802413">
      <w:pPr>
        <w:spacing w:after="0" w:line="252" w:lineRule="auto"/>
        <w:ind w:firstLine="709"/>
        <w:jc w:val="both"/>
        <w:rPr>
          <w:rFonts w:eastAsia="Calibri"/>
          <w:sz w:val="24"/>
          <w:szCs w:val="24"/>
          <w:lang w:eastAsia="ru-RU"/>
        </w:rPr>
      </w:pPr>
      <w:r w:rsidRPr="00430A25">
        <w:rPr>
          <w:rFonts w:eastAsia="Calibri"/>
          <w:sz w:val="24"/>
          <w:szCs w:val="24"/>
          <w:lang w:eastAsia="ru-RU"/>
        </w:rPr>
        <w:t>У практиці змагань зі спортивного гірського туризму виконання способу спуску з нарощуванням мотузок передбачається в умовах відсутності розташованого на маршруті спуску проміжного пункту страховки, який обладнаний на рельєфі, в місці проведення нарощування. У разі наявності обладнаного пункту, в якому можливе здійснення страховки і розвантаження транспортних мотузок, виконання вправи технічно перетворюється на простий спуск по двох послідовних ділянках з пересадкою. Відповідно змінюється набір необхідних до виконання технічних дій, загальний підхід до забезпечення необхідного рівня безпеки при виконанні технічного прийому. В цих умовах, виконання такого спуску необхідно кваліфікувати як виконання іншого технічного прийому, що не має відношення до технічного елементу «спуск спортсмена з нарощуванням спускових і страхувальних мотузок».</w:t>
      </w:r>
    </w:p>
    <w:p w:rsidR="00430A25" w:rsidRPr="00430A25" w:rsidRDefault="00430A25" w:rsidP="00802413">
      <w:pPr>
        <w:spacing w:after="0" w:line="252" w:lineRule="auto"/>
        <w:ind w:firstLine="709"/>
        <w:jc w:val="both"/>
        <w:rPr>
          <w:sz w:val="24"/>
          <w:szCs w:val="24"/>
          <w:lang w:eastAsia="ru-RU"/>
        </w:rPr>
      </w:pPr>
      <w:r w:rsidRPr="00430A25">
        <w:rPr>
          <w:sz w:val="24"/>
          <w:szCs w:val="24"/>
          <w:lang w:eastAsia="ru-RU"/>
        </w:rPr>
        <w:t>Технічний прийом «спуск спортсмена з нарощуванням спускових і страхувальних мотузок», виконується виходячи з тих умов, що для здійснення технічної роботи, на маршруті задіяний тільки один розташований зверху обладнаний пункт, з якого можлива технічна робота.</w:t>
      </w:r>
    </w:p>
    <w:p w:rsidR="00430A25" w:rsidRPr="00430A25" w:rsidRDefault="00430A25" w:rsidP="00802413">
      <w:pPr>
        <w:spacing w:after="0" w:line="252" w:lineRule="auto"/>
        <w:ind w:firstLine="709"/>
        <w:jc w:val="both"/>
        <w:rPr>
          <w:sz w:val="24"/>
          <w:szCs w:val="24"/>
          <w:lang w:eastAsia="ru-RU"/>
        </w:rPr>
      </w:pPr>
      <w:r w:rsidRPr="00430A25">
        <w:rPr>
          <w:sz w:val="24"/>
          <w:szCs w:val="24"/>
          <w:lang w:eastAsia="ru-RU"/>
        </w:rPr>
        <w:t>Спуск спортсмена до зони нарощування виключає можливість задіяння пункту, розташованого зверху, в якому можливе виконання технічної роботи. Тому подальша робота з нарощування мотузок може бути виконана тільки з використанням існуючого комплекту мотузок, закріплених у верхньому пункті, з дотриманням всіх норм безпеки і правил виконання технічного прийому, описаного в нормативних документах, що містять вимоги технічної регламентації правильності виконання даного технічного прийому [2].</w:t>
      </w:r>
    </w:p>
    <w:p w:rsidR="00430A25" w:rsidRPr="00430A25" w:rsidRDefault="00430A25" w:rsidP="00802413">
      <w:pPr>
        <w:spacing w:after="0" w:line="252" w:lineRule="auto"/>
        <w:ind w:firstLine="709"/>
        <w:jc w:val="both"/>
        <w:rPr>
          <w:sz w:val="24"/>
          <w:szCs w:val="24"/>
          <w:lang w:eastAsia="ru-RU"/>
        </w:rPr>
      </w:pPr>
      <w:r w:rsidRPr="00430A25">
        <w:rPr>
          <w:sz w:val="24"/>
          <w:szCs w:val="24"/>
          <w:lang w:eastAsia="ru-RU"/>
        </w:rPr>
        <w:t>Технічні вимоги, що регламентують правила виконання технічного прийому спуск «на мотузці з нарощуванням транспортних та страхувальних мотузок» містяться у відповідних розділах нормативного документу «Технічний регламент проведення спортивних змагань зі спортивного туризму (група спортивних дисциплін – «дистанція гірська»)» (далі – Технічний регламент) (п. 8.6.4.4.2. б і додаток 20) [4].</w:t>
      </w:r>
    </w:p>
    <w:p w:rsidR="00430A25" w:rsidRPr="00430A25" w:rsidRDefault="00430A25" w:rsidP="00802413">
      <w:pPr>
        <w:spacing w:after="0" w:line="252" w:lineRule="auto"/>
        <w:ind w:firstLine="709"/>
        <w:jc w:val="both"/>
        <w:rPr>
          <w:rFonts w:eastAsia="Calibri"/>
          <w:sz w:val="24"/>
          <w:szCs w:val="24"/>
          <w:lang w:eastAsia="ru-RU"/>
        </w:rPr>
      </w:pPr>
      <w:r w:rsidRPr="00430A25">
        <w:rPr>
          <w:rFonts w:eastAsia="Calibri"/>
          <w:sz w:val="24"/>
          <w:szCs w:val="24"/>
          <w:lang w:eastAsia="ru-RU"/>
        </w:rPr>
        <w:t>Практична необхідність, що обумовлює існування чітких правил виконання технічного прийому «спуск спортсмена з нарощуванням спускових і страхувальних мотузок», простежується тільки в рамках існування спортивного гірського туризму як виду спорту. Тому детальна регламентація правильності виконання даного технічного прийому наводиться тільки в нормативних документах, що регламентують правила проведення змагань зі спортивного гірського туризму. В якості основного документа, що містить таку регламентацію, слід розглядати Технічний регламент [</w:t>
      </w:r>
      <w:r w:rsidRPr="00430A25">
        <w:rPr>
          <w:rFonts w:eastAsia="Calibri"/>
          <w:sz w:val="24"/>
          <w:szCs w:val="24"/>
          <w:lang w:val="ru-RU" w:eastAsia="ru-RU"/>
        </w:rPr>
        <w:t>4</w:t>
      </w:r>
      <w:r w:rsidRPr="00430A25">
        <w:rPr>
          <w:rFonts w:eastAsia="Calibri"/>
          <w:sz w:val="24"/>
          <w:szCs w:val="24"/>
          <w:lang w:eastAsia="ru-RU"/>
        </w:rPr>
        <w:t>]. Решта джерел інформації в основному містять загальні способи нарощування мотузок, стосовно їх практичного застосування в різних умовах. Відповідно, вони не розглядають цей технічний прийом з точки зору його застосування на змаганнях зі спортивного туризму [5,</w:t>
      </w:r>
      <w:r w:rsidRPr="00430A25">
        <w:rPr>
          <w:rFonts w:eastAsia="Calibri"/>
          <w:sz w:val="24"/>
          <w:szCs w:val="24"/>
          <w:lang w:val="ru-RU" w:eastAsia="ru-RU"/>
        </w:rPr>
        <w:t>6,7,8,9,10</w:t>
      </w:r>
      <w:r w:rsidRPr="00430A25">
        <w:rPr>
          <w:rFonts w:eastAsia="Calibri"/>
          <w:sz w:val="24"/>
          <w:szCs w:val="24"/>
          <w:lang w:eastAsia="ru-RU"/>
        </w:rPr>
        <w:t>].</w:t>
      </w:r>
    </w:p>
    <w:p w:rsidR="00430A25" w:rsidRPr="00430A25" w:rsidRDefault="00430A25" w:rsidP="00802413">
      <w:pPr>
        <w:spacing w:after="0" w:line="252" w:lineRule="auto"/>
        <w:ind w:firstLine="709"/>
        <w:jc w:val="both"/>
        <w:rPr>
          <w:rFonts w:eastAsia="Calibri"/>
          <w:sz w:val="24"/>
          <w:szCs w:val="24"/>
          <w:lang w:eastAsia="ru-RU"/>
        </w:rPr>
      </w:pPr>
      <w:r w:rsidRPr="00430A25">
        <w:rPr>
          <w:rFonts w:eastAsia="Calibri"/>
          <w:b/>
          <w:sz w:val="24"/>
          <w:szCs w:val="24"/>
          <w:lang w:eastAsia="ru-RU"/>
        </w:rPr>
        <w:t>Мета дослідження</w:t>
      </w:r>
      <w:r w:rsidRPr="00430A25">
        <w:rPr>
          <w:rFonts w:eastAsia="Calibri"/>
          <w:sz w:val="24"/>
          <w:szCs w:val="24"/>
          <w:lang w:eastAsia="ru-RU"/>
        </w:rPr>
        <w:t xml:space="preserve"> – розробка та теоретичне обґрунтування правил виконання технічного прийому «спуск </w:t>
      </w:r>
      <w:r w:rsidRPr="00430A25">
        <w:rPr>
          <w:rFonts w:eastAsia="Calibri"/>
          <w:bCs/>
          <w:iCs/>
          <w:sz w:val="24"/>
          <w:szCs w:val="24"/>
          <w:lang w:eastAsia="ru-RU"/>
        </w:rPr>
        <w:t>спортсмена</w:t>
      </w:r>
      <w:r w:rsidRPr="00430A25">
        <w:rPr>
          <w:rFonts w:eastAsia="Calibri"/>
          <w:sz w:val="24"/>
          <w:szCs w:val="24"/>
          <w:lang w:eastAsia="ru-RU"/>
        </w:rPr>
        <w:t xml:space="preserve"> з нарощуванням спускових і страхувальних мотузок» в умовах виступу спортсмена на дистанціях особистих змагань.</w:t>
      </w:r>
    </w:p>
    <w:p w:rsidR="00430A25" w:rsidRPr="00430A25" w:rsidRDefault="00430A25" w:rsidP="00802413">
      <w:pPr>
        <w:spacing w:after="0" w:line="252" w:lineRule="auto"/>
        <w:ind w:firstLine="709"/>
        <w:jc w:val="both"/>
        <w:rPr>
          <w:rFonts w:eastAsia="Calibri"/>
          <w:sz w:val="24"/>
          <w:szCs w:val="24"/>
          <w:lang w:eastAsia="ru-RU"/>
        </w:rPr>
      </w:pPr>
      <w:r w:rsidRPr="00430A25">
        <w:rPr>
          <w:rFonts w:eastAsia="Calibri"/>
          <w:b/>
          <w:sz w:val="24"/>
          <w:szCs w:val="24"/>
          <w:lang w:eastAsia="ru-RU"/>
        </w:rPr>
        <w:t>Методи й організація дослідження</w:t>
      </w:r>
      <w:r w:rsidRPr="00430A25">
        <w:rPr>
          <w:rFonts w:eastAsia="Calibri"/>
          <w:sz w:val="24"/>
          <w:szCs w:val="24"/>
          <w:lang w:eastAsia="ru-RU"/>
        </w:rPr>
        <w:t>: пошук, порівняльний аналіз та узагальнення теоретичних та практичних даних, що містяться у науковій, методичній та регламентуючій літературі, педагогічне спостереження, узагальнення та конкретизація отриманих даних.</w:t>
      </w:r>
    </w:p>
    <w:p w:rsidR="00430A25" w:rsidRPr="00430A25" w:rsidRDefault="00430A25" w:rsidP="00802413">
      <w:pPr>
        <w:spacing w:after="0" w:line="240" w:lineRule="auto"/>
        <w:ind w:firstLine="709"/>
        <w:jc w:val="both"/>
        <w:rPr>
          <w:rFonts w:eastAsia="Calibri"/>
          <w:b/>
          <w:sz w:val="24"/>
          <w:szCs w:val="24"/>
          <w:lang w:eastAsia="ru-RU"/>
        </w:rPr>
      </w:pPr>
      <w:r w:rsidRPr="00430A25">
        <w:rPr>
          <w:rFonts w:eastAsia="Calibri"/>
          <w:b/>
          <w:sz w:val="24"/>
          <w:szCs w:val="24"/>
          <w:lang w:eastAsia="ru-RU"/>
        </w:rPr>
        <w:lastRenderedPageBreak/>
        <w:t xml:space="preserve">Результати дослідження та дискусія. </w:t>
      </w:r>
      <w:r w:rsidRPr="00430A25">
        <w:rPr>
          <w:rFonts w:eastAsia="Calibri"/>
          <w:sz w:val="24"/>
          <w:szCs w:val="24"/>
          <w:lang w:eastAsia="ru-RU"/>
        </w:rPr>
        <w:t>Для вирішення поставленого в роботі завдання необхідно визначити критерії правильності виконання технічного прийому «спуск спортсмена з нарощуванням спускових і страхувальних мотузок» при виступі спортсмена в соло режимі. В якості такого критерію пропонується використовувати відповідність набору виконуваних технічних рухів і вимог, до набору вимог, що містяться в Технічному регламенті та описують правильність виконання цього технічного елемента при спуску умовного «потерпілого» силами команди (п. 8.6.3.4.2. б і додаток 20) [</w:t>
      </w:r>
      <w:r w:rsidRPr="00430A25">
        <w:rPr>
          <w:rFonts w:eastAsia="Calibri"/>
          <w:sz w:val="24"/>
          <w:szCs w:val="24"/>
          <w:lang w:val="ru-RU" w:eastAsia="ru-RU"/>
        </w:rPr>
        <w:t>4</w:t>
      </w:r>
      <w:r w:rsidRPr="00430A25">
        <w:rPr>
          <w:rFonts w:eastAsia="Calibri"/>
          <w:sz w:val="24"/>
          <w:szCs w:val="24"/>
          <w:lang w:eastAsia="ru-RU"/>
        </w:rPr>
        <w:t>].</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Початковими умовами виконання технічного прийому є:</w:t>
      </w:r>
    </w:p>
    <w:p w:rsidR="00430A25" w:rsidRPr="00430A25" w:rsidRDefault="00430A25" w:rsidP="00430A25">
      <w:pPr>
        <w:tabs>
          <w:tab w:val="left" w:pos="993"/>
        </w:tabs>
        <w:spacing w:after="0" w:line="240" w:lineRule="auto"/>
        <w:ind w:firstLine="709"/>
        <w:jc w:val="both"/>
        <w:rPr>
          <w:rFonts w:eastAsia="Calibri"/>
          <w:sz w:val="24"/>
          <w:szCs w:val="24"/>
          <w:lang w:eastAsia="ru-RU"/>
        </w:rPr>
      </w:pPr>
      <w:r w:rsidRPr="00430A25">
        <w:rPr>
          <w:rFonts w:eastAsia="Calibri"/>
          <w:sz w:val="24"/>
          <w:szCs w:val="24"/>
          <w:lang w:eastAsia="ru-RU"/>
        </w:rPr>
        <w:t>1.</w:t>
      </w:r>
      <w:r w:rsidRPr="00430A25">
        <w:rPr>
          <w:rFonts w:eastAsia="Calibri"/>
          <w:sz w:val="24"/>
          <w:szCs w:val="24"/>
          <w:lang w:eastAsia="ru-RU"/>
        </w:rPr>
        <w:tab/>
        <w:t>Всі закріплення транспортних і страхувальних мотузок, задіяних при виконанні технічного прийому, здійснюються тільки з пунктів, обладнаних силами суддівської бригади (обумовлюються вимогами забезпечення безпеки, описаними в Технічному регламенті).</w:t>
      </w:r>
    </w:p>
    <w:p w:rsidR="00430A25" w:rsidRPr="00430A25" w:rsidRDefault="00430A25" w:rsidP="00430A25">
      <w:pPr>
        <w:tabs>
          <w:tab w:val="left" w:pos="993"/>
        </w:tabs>
        <w:spacing w:after="0" w:line="240" w:lineRule="auto"/>
        <w:ind w:firstLine="709"/>
        <w:jc w:val="both"/>
        <w:rPr>
          <w:rFonts w:eastAsia="Calibri"/>
          <w:sz w:val="24"/>
          <w:szCs w:val="24"/>
          <w:lang w:eastAsia="ru-RU"/>
        </w:rPr>
      </w:pPr>
      <w:r w:rsidRPr="00430A25">
        <w:rPr>
          <w:rFonts w:eastAsia="Calibri"/>
          <w:sz w:val="24"/>
          <w:szCs w:val="24"/>
          <w:lang w:eastAsia="ru-RU"/>
        </w:rPr>
        <w:t>2.</w:t>
      </w:r>
      <w:r w:rsidRPr="00430A25">
        <w:rPr>
          <w:rFonts w:eastAsia="Calibri"/>
          <w:sz w:val="24"/>
          <w:szCs w:val="24"/>
          <w:lang w:eastAsia="ru-RU"/>
        </w:rPr>
        <w:tab/>
        <w:t>Відповідно до загальних вимог Технічного регламенту, пов'язаних із забезпеченням безпеки, протягом всього маршруту правильне виконання технічного прийому забезпечується одночасним виконанням трьох елементів:</w:t>
      </w:r>
    </w:p>
    <w:p w:rsidR="00430A25" w:rsidRPr="00430A25" w:rsidRDefault="00430A25" w:rsidP="00430A25">
      <w:pPr>
        <w:numPr>
          <w:ilvl w:val="0"/>
          <w:numId w:val="32"/>
        </w:numPr>
        <w:tabs>
          <w:tab w:val="left" w:pos="993"/>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постійна взаємодія спортсмена зі спусковими мотузками, що здійснюється через закріплений на індивідуальній страхувальній системі (далі – ІСС) спортсмена спусковий пристрій, через який проходять  спускові мотузки;</w:t>
      </w:r>
    </w:p>
    <w:p w:rsidR="00430A25" w:rsidRPr="00430A25" w:rsidRDefault="00430A25" w:rsidP="00430A25">
      <w:pPr>
        <w:numPr>
          <w:ilvl w:val="0"/>
          <w:numId w:val="32"/>
        </w:numPr>
        <w:tabs>
          <w:tab w:val="left" w:pos="993"/>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наявність ізольованої страхувальної лінії, без її переривання в момент здійснення нарощування транспортних і страхувальних мотузок;</w:t>
      </w:r>
    </w:p>
    <w:p w:rsidR="00430A25" w:rsidRPr="00430A25" w:rsidRDefault="00430A25" w:rsidP="00430A25">
      <w:pPr>
        <w:numPr>
          <w:ilvl w:val="0"/>
          <w:numId w:val="32"/>
        </w:numPr>
        <w:tabs>
          <w:tab w:val="left" w:pos="993"/>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закріплення вільного кінця використовуваного комплекту транспортних і страхувальних мотузок до ІСС спортсмена.</w:t>
      </w:r>
    </w:p>
    <w:p w:rsidR="00430A25" w:rsidRPr="00430A25" w:rsidRDefault="00430A25" w:rsidP="00430A25">
      <w:pPr>
        <w:tabs>
          <w:tab w:val="left" w:pos="993"/>
        </w:tabs>
        <w:spacing w:after="0" w:line="240" w:lineRule="auto"/>
        <w:ind w:firstLine="709"/>
        <w:jc w:val="both"/>
        <w:rPr>
          <w:rFonts w:eastAsia="Calibri"/>
          <w:sz w:val="24"/>
          <w:szCs w:val="24"/>
          <w:lang w:eastAsia="ru-RU"/>
        </w:rPr>
      </w:pPr>
      <w:r w:rsidRPr="00430A25">
        <w:rPr>
          <w:rFonts w:eastAsia="Calibri"/>
          <w:sz w:val="24"/>
          <w:szCs w:val="24"/>
          <w:lang w:eastAsia="ru-RU"/>
        </w:rPr>
        <w:t>3.</w:t>
      </w:r>
      <w:r w:rsidRPr="00430A25">
        <w:rPr>
          <w:rFonts w:eastAsia="Calibri"/>
          <w:sz w:val="24"/>
          <w:szCs w:val="24"/>
          <w:lang w:eastAsia="ru-RU"/>
        </w:rPr>
        <w:tab/>
        <w:t>Додатковою умовою забезпечення безпеки виконання прийому виступає пряма заборона на використання грубої фізичної сили для зняття навантаження з мотузок при безпосередньому виконанні нарощування і перенесення ваги спортсмена з першого комплекту транспортних і страхувальних мотузок на другий комплект мотузок.</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З урахуванням вище перерахованих вимог щодо забезпечення безпеки виконання цього технічного прийому формуються вимоги до правильності його виконання в умовах індивідуальної роботи спортсмена. Для цього визначається необхідний набір і послідовність виконання комплексу окремих технічних дій, які забезпечують правильність виконання технічного прийому «спуск спортсмена з нарощуванням транспортних і страхувальних мотузок».</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Відповідно до вимог Технічного регламенту під час виступу спортсмена на дистанціях, що передбачають соло виступ, функції страхувальної та транспортної мотузок об'єднуються, і вся робота виконується однією мотузкою (одинарною або подвійною, залежно від умов змагань). Для зручності сприйняття в подальшій роботі будуть використовуватися терміни «спускова лінія» і «лінія страхування».</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Визначаємо комплекс необхідних технічних дій на етапі підготовки учасника до спуску на першій ділянці маршруту.</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Обладнання «спускової лінії» включає в себе закріплення обох кінців спускової мотузки. Верхній кінець спускової мотузки закріплюється на станції, попередньо обладнаній силами суддівської бригади. Нижній кінець спускової мотузки жорстко закріплюється на ІСС спортсмена, що здійснює спуск. Ця вимога синхронізована з вимогами виконання технічного прийому в умовах командних виступів. Обов'язкове закріплення нижнього кінця спускової мотузки виключає можливість падіння спортсмена в разі руйнування або втрати контролю над спусковим пристроєм і лінією страховки.</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 xml:space="preserve">Обладнання «лінії страхування» включає в себе організацію страхування за допомогою захоплюючого вузла, закріпленого на мотузці вище спускового пристрою, і </w:t>
      </w:r>
      <w:r w:rsidRPr="00430A25">
        <w:rPr>
          <w:rFonts w:eastAsia="Calibri"/>
          <w:sz w:val="24"/>
          <w:szCs w:val="24"/>
          <w:lang w:eastAsia="ru-RU"/>
        </w:rPr>
        <w:lastRenderedPageBreak/>
        <w:t>закріплення до ІСС спортсмена окремо від точки закріплення спускового пристрою. Звертається увага на необхідність закріплення вільного кінця страхувальної мотузки до ІСС спортсмена. У такому випадку ця умова автоматично виконується, оскільки раніше закріплена мотузка поєднує в собі функції як спускової, так і страхувальної мотузок.</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Спуск спортсмена до місця проведення нарощування виконується з дотриманням норм і правил виконання технічного прийому спуск «рух спортсмена по мотузці зі скиданням висоти» описаному в Технічному регламенті. (п. 8.3.3) [4].</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i/>
          <w:sz w:val="24"/>
          <w:szCs w:val="24"/>
          <w:lang w:eastAsia="ru-RU"/>
        </w:rPr>
        <w:t>Робота в зоні нарощування</w:t>
      </w:r>
      <w:r w:rsidRPr="00430A25">
        <w:rPr>
          <w:rFonts w:eastAsia="Calibri"/>
          <w:sz w:val="24"/>
          <w:szCs w:val="24"/>
          <w:lang w:eastAsia="ru-RU"/>
        </w:rPr>
        <w:t>. Під час роботи в зоні нарощування дії з обладнання «спускової лінії» повинні включати такі етапи і послідовність їх виконання. Не перериваючи раніше визначених способів забезпечення безпеки, і не знімаючи навантаження з першого комплекту мотузок, спортсмен послідовно виконує такі дії:</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підключається другий комплект спускових мотузок;</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виконується закріплення вільного кінця другого комплекту мотузок до ІСС спортсмена;</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до підготовленого другого комплекту спускових мотузок підключається другий спусковий пристрій;</w:t>
      </w:r>
    </w:p>
    <w:p w:rsidR="00430A25" w:rsidRPr="00430A25" w:rsidRDefault="00430A25" w:rsidP="00430A25">
      <w:pPr>
        <w:tabs>
          <w:tab w:val="left" w:pos="1134"/>
        </w:tabs>
        <w:spacing w:after="0" w:line="240" w:lineRule="auto"/>
        <w:ind w:firstLine="709"/>
        <w:jc w:val="both"/>
        <w:rPr>
          <w:rFonts w:eastAsia="Calibri"/>
          <w:sz w:val="24"/>
          <w:szCs w:val="24"/>
          <w:lang w:eastAsia="ru-RU"/>
        </w:rPr>
      </w:pPr>
      <w:r w:rsidRPr="00430A25">
        <w:rPr>
          <w:rFonts w:eastAsia="Calibri"/>
          <w:sz w:val="24"/>
          <w:szCs w:val="24"/>
          <w:lang w:eastAsia="ru-RU"/>
        </w:rPr>
        <w:t>На цьому етапі послідовність виконання дій №2 і №3 може бути довільною.</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не знімаючи страхувальний пристрій з першого комплекту мотузок, за допомогою другого схоплюючого вузла виконується організація «лінії страхування» на другому комплекті використовуваних мотузок;</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після організації «лінії страхування» на другому комплекті мотузок від’єднується перший страхувальний вузол від ІСС спортсмена;</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за допомогою заздалегідь підготовленої системи розвантаження від’єднується спусковий пристрій № 1 від першого комплекту спускових мотузок;</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за умовами забезпечення безпеки (виключення можливості виникнення ривка) застосування грубої фізичної сили на етапі 5 заборонено (обов'язкове застосування системи розвантаження).</w:t>
      </w:r>
    </w:p>
    <w:p w:rsidR="00430A25" w:rsidRPr="00430A25" w:rsidRDefault="00430A25" w:rsidP="00430A25">
      <w:pPr>
        <w:tabs>
          <w:tab w:val="left" w:pos="1134"/>
        </w:tabs>
        <w:spacing w:after="0" w:line="240" w:lineRule="auto"/>
        <w:ind w:firstLine="709"/>
        <w:contextualSpacing/>
        <w:jc w:val="both"/>
        <w:rPr>
          <w:rFonts w:eastAsia="Calibri"/>
          <w:sz w:val="24"/>
          <w:szCs w:val="24"/>
          <w:lang w:eastAsia="ru-RU"/>
        </w:rPr>
      </w:pPr>
      <w:r w:rsidRPr="00430A25">
        <w:rPr>
          <w:rFonts w:eastAsia="Calibri"/>
          <w:sz w:val="24"/>
          <w:szCs w:val="24"/>
          <w:lang w:eastAsia="ru-RU"/>
        </w:rPr>
        <w:t>На цьому етапі послідовність виконання дій №5 і №6 може бути довільною, що залежить від тактики виступу спортсмена.</w:t>
      </w:r>
    </w:p>
    <w:p w:rsidR="00430A25" w:rsidRPr="00430A25" w:rsidRDefault="00430A25" w:rsidP="00430A25">
      <w:pPr>
        <w:numPr>
          <w:ilvl w:val="0"/>
          <w:numId w:val="29"/>
        </w:numPr>
        <w:tabs>
          <w:tab w:val="left" w:pos="1134"/>
        </w:tabs>
        <w:spacing w:after="0" w:line="240" w:lineRule="auto"/>
        <w:ind w:left="0" w:firstLine="709"/>
        <w:contextualSpacing/>
        <w:jc w:val="both"/>
        <w:rPr>
          <w:rFonts w:eastAsia="Calibri"/>
          <w:sz w:val="24"/>
          <w:szCs w:val="24"/>
          <w:lang w:eastAsia="ru-RU"/>
        </w:rPr>
      </w:pPr>
      <w:r w:rsidRPr="00430A25">
        <w:rPr>
          <w:rFonts w:eastAsia="Calibri"/>
          <w:sz w:val="24"/>
          <w:szCs w:val="24"/>
          <w:lang w:eastAsia="ru-RU"/>
        </w:rPr>
        <w:t>Після перенесення ваги тіла спортсмена на другий комплект мотузок від ІСС спортсмена від'єднується кінець першого комплекту мотузок.</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Критерієм успішності виконання нарощування спускових і страхувальних мотузок є виконання всього комплексу описаних технічних дій за умови, що під час його виконання спортсмен не вийшов за межі визначеної суддями зони нарощування мотузок. У практиці спортивного гірського туризму найбільш оптимальним коридором, що забезпечує контроль правильності виконання технічного прийому «спуск спортсмена з нарощуванням спускових і страхувальних мотузок», при дотриманні умов безпеки є коридор шириною від півтора до двох метрів.</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Найбільш частою помилкою на цьому етапі виконання технічного прийому є вихід спортсмена за межі зони нарощування, з прикріпленим до ІСС спортсмена кінцем першого комплекту робочих мотузок.</w:t>
      </w:r>
    </w:p>
    <w:p w:rsidR="00430A25" w:rsidRPr="00430A25" w:rsidRDefault="00430A25" w:rsidP="00430A25">
      <w:pPr>
        <w:spacing w:after="0" w:line="240" w:lineRule="auto"/>
        <w:ind w:firstLine="709"/>
        <w:contextualSpacing/>
        <w:jc w:val="both"/>
        <w:rPr>
          <w:rFonts w:eastAsia="Calibri"/>
          <w:sz w:val="24"/>
          <w:szCs w:val="24"/>
          <w:lang w:eastAsia="ru-RU"/>
        </w:rPr>
      </w:pPr>
      <w:r w:rsidRPr="00430A25">
        <w:rPr>
          <w:rFonts w:eastAsia="Calibri"/>
          <w:sz w:val="24"/>
          <w:szCs w:val="24"/>
          <w:lang w:eastAsia="ru-RU"/>
        </w:rPr>
        <w:t>Спуск спортсмена по другій ділянці маршруту здійснюється відповідно до вимог Технічного регламенту (п. 8.3.3) [4], і як правило, не викликає складнощів при його виконанні та правильності суддівської оцінки його техніки виконання.</w:t>
      </w:r>
    </w:p>
    <w:p w:rsidR="00430A25" w:rsidRPr="00430A25" w:rsidRDefault="00430A25" w:rsidP="00430A25">
      <w:pPr>
        <w:spacing w:after="0" w:line="240" w:lineRule="auto"/>
        <w:ind w:firstLine="709"/>
        <w:contextualSpacing/>
        <w:jc w:val="both"/>
        <w:rPr>
          <w:rFonts w:eastAsia="Calibri"/>
          <w:sz w:val="24"/>
          <w:szCs w:val="24"/>
          <w:lang w:eastAsia="ru-RU"/>
        </w:rPr>
      </w:pPr>
      <w:r w:rsidRPr="00430A25">
        <w:rPr>
          <w:rFonts w:eastAsia="Calibri"/>
          <w:b/>
          <w:sz w:val="24"/>
          <w:szCs w:val="24"/>
          <w:lang w:eastAsia="ru-RU"/>
        </w:rPr>
        <w:t xml:space="preserve">Висновки з обґрунтуванням подальшого пошуку. </w:t>
      </w:r>
      <w:r w:rsidRPr="00430A25">
        <w:rPr>
          <w:rFonts w:eastAsia="Calibri"/>
          <w:sz w:val="24"/>
          <w:szCs w:val="24"/>
          <w:lang w:eastAsia="ru-RU"/>
        </w:rPr>
        <w:t xml:space="preserve">Запропонований підхід до визначення необхідного набору, правильності та послідовності  виконання одиничних технічних дій при виконанні комплексної роботи з нарощування спускових і страхувальних мотузок в умовах автономного виступу спортсмена дозволяють виробити загальні вимоги щодо правильності виконання цього технічного прийому. Також на основі виконаної роботи є можливість синхронізувати підхід до суддівської </w:t>
      </w:r>
      <w:r w:rsidRPr="00430A25">
        <w:rPr>
          <w:rFonts w:eastAsia="Calibri"/>
          <w:sz w:val="24"/>
          <w:szCs w:val="24"/>
          <w:lang w:eastAsia="ru-RU"/>
        </w:rPr>
        <w:lastRenderedPageBreak/>
        <w:t>оцінки правильності виконання та системи нарахування штрафних балів за результатами виступу спортсмена на дистанції.</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 xml:space="preserve">Як продовження виконаної роботи необхідно розглянути випадок виконання цього технічного прийому, при якому на основі рішення судді спортсмену дозволяється проходження маршруту, використовуючи тільки один комплект робочих мотузок з довжиною, що дозволяє наскрізне проходження всього маршруту. </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 xml:space="preserve">У цьому випадку спортсмен умовно розділяє мотузку на два відрізки і виконує роботи з нарощування, імітуючи роботу з двома комплектами робочих мотузок. </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З метою забезпечення необхідного рівня безпеки при виконанні зазначеного варіанту виконання технічного прийому необхідно зафіксувати розбиття однієї загальної мотузки на дві ізольовані ділянки з обов'язковим закріпленням кінця отриманої ділянки мотузки на ІСС спортсмена.</w:t>
      </w:r>
    </w:p>
    <w:p w:rsidR="00430A25" w:rsidRPr="00430A25" w:rsidRDefault="00430A25" w:rsidP="00430A25">
      <w:pPr>
        <w:spacing w:after="0" w:line="240" w:lineRule="auto"/>
        <w:ind w:firstLine="709"/>
        <w:jc w:val="both"/>
        <w:rPr>
          <w:rFonts w:eastAsia="Calibri"/>
          <w:sz w:val="24"/>
          <w:szCs w:val="24"/>
          <w:lang w:eastAsia="ru-RU"/>
        </w:rPr>
      </w:pPr>
      <w:r w:rsidRPr="00430A25">
        <w:rPr>
          <w:rFonts w:eastAsia="Calibri"/>
          <w:sz w:val="24"/>
          <w:szCs w:val="24"/>
          <w:lang w:eastAsia="ru-RU"/>
        </w:rPr>
        <w:t>Це синхронізує набір виконуваних технічних дій з аналогічним набором при використанні двох різних комплектів мотузки, і забезпечує необхідний рівень безпеки виступу спортсмена під час виконання спуску спортсмена з нарощуванням спускових і страхувальних мотузок. Недотримання цієї вимоги змінює алгоритм дій спортсмена, і не дозволяє досягти необхідного рівня безпеки виконання технічного прийому.</w:t>
      </w:r>
    </w:p>
    <w:p w:rsidR="00430A25" w:rsidRPr="00430A25" w:rsidRDefault="00430A25" w:rsidP="00430A25">
      <w:pPr>
        <w:spacing w:after="0" w:line="240" w:lineRule="auto"/>
        <w:ind w:firstLine="709"/>
        <w:jc w:val="center"/>
        <w:rPr>
          <w:rFonts w:eastAsia="Calibri"/>
          <w:b/>
          <w:sz w:val="24"/>
          <w:szCs w:val="24"/>
          <w:lang w:eastAsia="ru-RU"/>
        </w:rPr>
      </w:pPr>
    </w:p>
    <w:p w:rsidR="00430A25" w:rsidRPr="00802413" w:rsidRDefault="00430A25" w:rsidP="00430A25">
      <w:pPr>
        <w:spacing w:after="0" w:line="240" w:lineRule="auto"/>
        <w:ind w:firstLine="709"/>
        <w:jc w:val="center"/>
        <w:rPr>
          <w:rFonts w:eastAsia="Calibri"/>
          <w:b/>
          <w:sz w:val="20"/>
          <w:szCs w:val="24"/>
          <w:lang w:eastAsia="ru-RU"/>
        </w:rPr>
      </w:pPr>
      <w:r w:rsidRPr="00802413">
        <w:rPr>
          <w:rFonts w:eastAsia="Calibri"/>
          <w:b/>
          <w:sz w:val="20"/>
          <w:szCs w:val="24"/>
          <w:lang w:eastAsia="ru-RU"/>
        </w:rPr>
        <w:t>Список використаних джерел</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eastAsia="ru-RU"/>
        </w:rPr>
      </w:pPr>
      <w:r w:rsidRPr="00430A25">
        <w:rPr>
          <w:rFonts w:eastAsia="Calibri"/>
          <w:sz w:val="20"/>
          <w:szCs w:val="20"/>
          <w:lang w:eastAsia="ru-RU"/>
        </w:rPr>
        <w:t xml:space="preserve">Григорович А, Риженко Д. Питання забезпечення безпеки при проведенні змагань зі спортивного туризму. Olympicus. 2024;(4):10-6. </w:t>
      </w:r>
      <w:hyperlink r:id="rId232" w:history="1">
        <w:r w:rsidRPr="00430A25">
          <w:rPr>
            <w:rFonts w:eastAsia="Calibri"/>
            <w:sz w:val="20"/>
            <w:szCs w:val="20"/>
            <w:u w:val="single"/>
            <w:lang w:eastAsia="ru-RU"/>
          </w:rPr>
          <w:t>https://doi.org/10.24195/olympicus/2024-4.2</w:t>
        </w:r>
      </w:hyperlink>
      <w:r w:rsidRPr="00430A25">
        <w:rPr>
          <w:rFonts w:eastAsia="Calibri"/>
          <w:sz w:val="20"/>
          <w:szCs w:val="20"/>
          <w:lang w:eastAsia="ru-RU"/>
        </w:rPr>
        <w:t xml:space="preserve">. </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eastAsia="ru-RU"/>
        </w:rPr>
      </w:pPr>
      <w:r w:rsidRPr="00430A25">
        <w:rPr>
          <w:rFonts w:eastAsia="Calibri"/>
          <w:sz w:val="20"/>
          <w:szCs w:val="20"/>
          <w:lang w:eastAsia="ru-RU"/>
        </w:rPr>
        <w:t>Правила спортивних змагань зі спортивного туризму. Київ: Міністерство молоді та спорту України; 2025. 47 с. URL: https://drive.google.com/file/d/1sI2Q7x_B8Q7CDQXdwFnuVkDA4DqMuHBg/view.</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eastAsia="ru-RU"/>
        </w:rPr>
      </w:pPr>
      <w:r w:rsidRPr="00430A25">
        <w:rPr>
          <w:rFonts w:eastAsia="Calibri"/>
          <w:sz w:val="20"/>
          <w:szCs w:val="20"/>
          <w:shd w:val="clear" w:color="auto" w:fill="FFFFFF"/>
          <w:lang w:eastAsia="ru-RU"/>
        </w:rPr>
        <w:t>Риженко ДЮ, Скалій ТВ. Визначення шляхів підвищення ефективності підготовки спортсменів для виступу на дистанції «рятувальні технічні прийоми у гірському туризмі». Фізична культура, спорт та здоров’я нації. 2023;16:99</w:t>
      </w:r>
      <w:r w:rsidRPr="00430A25">
        <w:rPr>
          <w:rFonts w:eastAsia="Calibri"/>
          <w:sz w:val="20"/>
          <w:szCs w:val="20"/>
          <w:shd w:val="clear" w:color="auto" w:fill="FFFFFF"/>
          <w:lang w:val="ru-RU" w:eastAsia="ru-RU"/>
        </w:rPr>
        <w:t>-</w:t>
      </w:r>
      <w:r w:rsidRPr="00430A25">
        <w:rPr>
          <w:rFonts w:eastAsia="Calibri"/>
          <w:sz w:val="20"/>
          <w:szCs w:val="20"/>
          <w:shd w:val="clear" w:color="auto" w:fill="FFFFFF"/>
          <w:lang w:eastAsia="ru-RU"/>
        </w:rPr>
        <w:t>106.</w:t>
      </w:r>
      <w:r w:rsidRPr="00430A25">
        <w:rPr>
          <w:rFonts w:eastAsia="Calibri"/>
          <w:sz w:val="20"/>
          <w:szCs w:val="20"/>
          <w:shd w:val="clear" w:color="auto" w:fill="FFFFFF"/>
          <w:lang w:val="ru-RU" w:eastAsia="ru-RU"/>
        </w:rPr>
        <w:t xml:space="preserve"> </w:t>
      </w:r>
      <w:hyperlink r:id="rId233" w:history="1">
        <w:r w:rsidRPr="00430A25">
          <w:rPr>
            <w:rFonts w:eastAsia="Calibri"/>
            <w:sz w:val="20"/>
            <w:szCs w:val="20"/>
            <w:u w:val="single"/>
            <w:lang w:eastAsia="ru-RU"/>
          </w:rPr>
          <w:t>https://doi.org/10.31652/2071-5285-2023-16(35)-99-106</w:t>
        </w:r>
      </w:hyperlink>
      <w:r w:rsidRPr="00430A25">
        <w:rPr>
          <w:rFonts w:eastAsia="Calibri"/>
          <w:sz w:val="20"/>
          <w:szCs w:val="20"/>
          <w:lang w:eastAsia="ru-RU"/>
        </w:rPr>
        <w:t xml:space="preserve">. </w:t>
      </w:r>
      <w:r w:rsidRPr="00430A25">
        <w:rPr>
          <w:rFonts w:eastAsia="Calibri"/>
          <w:sz w:val="20"/>
          <w:szCs w:val="20"/>
          <w:lang w:val="ru-RU" w:eastAsia="ru-RU"/>
        </w:rPr>
        <w:t xml:space="preserve"> </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eastAsia="ru-RU"/>
        </w:rPr>
      </w:pPr>
      <w:r w:rsidRPr="00430A25">
        <w:rPr>
          <w:rFonts w:eastAsia="Calibri"/>
          <w:sz w:val="20"/>
          <w:szCs w:val="20"/>
          <w:lang w:eastAsia="ru-RU"/>
        </w:rPr>
        <w:t xml:space="preserve">Технічний регламент проведення спортивних змагань зі спортивного туризму (група спортивних дисциплін – «дистанція гірська»). Київ; 2021. 188 с. URL: </w:t>
      </w:r>
      <w:hyperlink r:id="rId234" w:history="1">
        <w:r w:rsidRPr="00430A25">
          <w:rPr>
            <w:rFonts w:eastAsia="Calibri"/>
            <w:sz w:val="20"/>
            <w:szCs w:val="20"/>
            <w:u w:val="single"/>
            <w:lang w:eastAsia="ru-RU"/>
          </w:rPr>
          <w:t>https://www.mountain.net.ua/content/uploads/tehnichnij-reglament.-distanczi%D1%97-vvedeno-v-diyu-01.11.2021.pdf</w:t>
        </w:r>
      </w:hyperlink>
      <w:r w:rsidRPr="00430A25">
        <w:rPr>
          <w:rFonts w:eastAsia="Calibri"/>
          <w:sz w:val="20"/>
          <w:szCs w:val="20"/>
          <w:lang w:eastAsia="ru-RU"/>
        </w:rPr>
        <w:t xml:space="preserve">.  </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val="en-US" w:eastAsia="ru-RU"/>
        </w:rPr>
      </w:pPr>
      <w:r w:rsidRPr="00430A25">
        <w:rPr>
          <w:rFonts w:eastAsia="Calibri"/>
          <w:bCs/>
          <w:sz w:val="20"/>
          <w:szCs w:val="20"/>
          <w:lang w:val="en-US" w:eastAsia="ru-RU"/>
        </w:rPr>
        <w:t>Alpine rescue techniques. Bern: International Climbing and Mountaineering Federation (UIAA); 2019. 312 p.</w:t>
      </w:r>
      <w:r w:rsidRPr="00430A25">
        <w:rPr>
          <w:rFonts w:eastAsia="Calibri"/>
          <w:bCs/>
          <w:sz w:val="20"/>
          <w:szCs w:val="20"/>
          <w:lang w:eastAsia="ru-RU"/>
        </w:rPr>
        <w:t xml:space="preserve"> </w:t>
      </w:r>
      <w:r w:rsidRPr="00430A25">
        <w:rPr>
          <w:rFonts w:eastAsia="Calibri"/>
          <w:bCs/>
          <w:sz w:val="20"/>
          <w:szCs w:val="20"/>
          <w:lang w:val="en-US" w:eastAsia="ru-RU"/>
        </w:rPr>
        <w:t xml:space="preserve">URL: </w:t>
      </w:r>
      <w:hyperlink r:id="rId235" w:history="1">
        <w:r w:rsidRPr="00430A25">
          <w:rPr>
            <w:rFonts w:eastAsia="Calibri"/>
            <w:bCs/>
            <w:sz w:val="20"/>
            <w:szCs w:val="20"/>
            <w:u w:val="single"/>
            <w:lang w:val="en-US" w:eastAsia="ru-RU"/>
          </w:rPr>
          <w:t>https://www.scribd.com/document/964128099/Mountain-Rescue-Manual-1</w:t>
        </w:r>
      </w:hyperlink>
      <w:r w:rsidRPr="00430A25">
        <w:rPr>
          <w:rFonts w:eastAsia="Calibri"/>
          <w:bCs/>
          <w:sz w:val="20"/>
          <w:szCs w:val="20"/>
          <w:lang w:val="en-US" w:eastAsia="ru-RU"/>
        </w:rPr>
        <w:t xml:space="preserve">. </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val="en-US" w:eastAsia="ru-RU"/>
        </w:rPr>
      </w:pPr>
      <w:r w:rsidRPr="00430A25">
        <w:rPr>
          <w:rFonts w:eastAsia="Calibri"/>
          <w:sz w:val="20"/>
          <w:szCs w:val="20"/>
          <w:lang w:val="en-US" w:eastAsia="ru-RU"/>
        </w:rPr>
        <w:t>Fuss FK, Niegl G. Design and mechanics of belay devices and rope brakes. Sports Technology. 2010;3(2):68</w:t>
      </w:r>
      <w:r w:rsidRPr="00430A25">
        <w:rPr>
          <w:rFonts w:eastAsia="Calibri"/>
          <w:sz w:val="20"/>
          <w:szCs w:val="20"/>
          <w:lang w:eastAsia="ru-RU"/>
        </w:rPr>
        <w:t>-</w:t>
      </w:r>
      <w:r w:rsidRPr="00430A25">
        <w:rPr>
          <w:rFonts w:eastAsia="Calibri"/>
          <w:sz w:val="20"/>
          <w:szCs w:val="20"/>
          <w:lang w:val="en-US" w:eastAsia="ru-RU"/>
        </w:rPr>
        <w:t xml:space="preserve">87. </w:t>
      </w:r>
      <w:hyperlink r:id="rId236" w:history="1">
        <w:r w:rsidRPr="00430A25">
          <w:rPr>
            <w:rFonts w:eastAsia="Calibri"/>
            <w:sz w:val="20"/>
            <w:szCs w:val="20"/>
            <w:u w:val="single"/>
            <w:lang w:val="en-US" w:eastAsia="ru-RU"/>
          </w:rPr>
          <w:t>https://doi.org/10.1080/19346182.2010.538401</w:t>
        </w:r>
      </w:hyperlink>
      <w:r w:rsidRPr="00430A25">
        <w:rPr>
          <w:rFonts w:eastAsia="Calibri"/>
          <w:sz w:val="20"/>
          <w:szCs w:val="20"/>
          <w:lang w:eastAsia="ru-RU"/>
        </w:rPr>
        <w:t xml:space="preserve"> </w:t>
      </w:r>
      <w:r w:rsidRPr="00430A25">
        <w:rPr>
          <w:rFonts w:eastAsia="Calibri"/>
          <w:sz w:val="20"/>
          <w:szCs w:val="20"/>
          <w:lang w:val="en-US" w:eastAsia="ru-RU"/>
        </w:rPr>
        <w:t>.</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val="en-US" w:eastAsia="ru-RU"/>
        </w:rPr>
      </w:pPr>
      <w:r w:rsidRPr="00430A25">
        <w:rPr>
          <w:rFonts w:eastAsia="Calibri"/>
          <w:sz w:val="20"/>
          <w:szCs w:val="20"/>
          <w:lang w:val="en-US" w:eastAsia="ru-RU"/>
        </w:rPr>
        <w:t>Fuss FK, Niegl G. Understanding the mechanics of dynamic rope brakes. Procedia Engineering. 2010;2(2):3322</w:t>
      </w:r>
      <w:r w:rsidRPr="00430A25">
        <w:rPr>
          <w:rFonts w:eastAsia="Calibri"/>
          <w:sz w:val="20"/>
          <w:szCs w:val="20"/>
          <w:lang w:eastAsia="ru-RU"/>
        </w:rPr>
        <w:t>-</w:t>
      </w:r>
      <w:r w:rsidRPr="00430A25">
        <w:rPr>
          <w:rFonts w:eastAsia="Calibri"/>
          <w:sz w:val="20"/>
          <w:szCs w:val="20"/>
          <w:lang w:val="en-US" w:eastAsia="ru-RU"/>
        </w:rPr>
        <w:t xml:space="preserve">8. </w:t>
      </w:r>
      <w:hyperlink r:id="rId237" w:history="1">
        <w:r w:rsidRPr="00430A25">
          <w:rPr>
            <w:rFonts w:eastAsia="Calibri"/>
            <w:sz w:val="20"/>
            <w:szCs w:val="20"/>
            <w:u w:val="single"/>
            <w:lang w:val="en-US" w:eastAsia="ru-RU"/>
          </w:rPr>
          <w:t>https://doi.org/10.1016/j.proeng.2010.04.152</w:t>
        </w:r>
      </w:hyperlink>
      <w:r w:rsidRPr="00430A25">
        <w:rPr>
          <w:rFonts w:eastAsia="Calibri"/>
          <w:sz w:val="20"/>
          <w:szCs w:val="20"/>
          <w:lang w:eastAsia="ru-RU"/>
        </w:rPr>
        <w:t xml:space="preserve"> </w:t>
      </w:r>
      <w:r w:rsidRPr="00430A25">
        <w:rPr>
          <w:rFonts w:eastAsia="Calibri"/>
          <w:sz w:val="20"/>
          <w:szCs w:val="20"/>
          <w:lang w:val="en-US" w:eastAsia="ru-RU"/>
        </w:rPr>
        <w:t>.</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val="en-US" w:eastAsia="ru-RU"/>
        </w:rPr>
      </w:pPr>
      <w:r w:rsidRPr="00430A25">
        <w:rPr>
          <w:rFonts w:eastAsia="Calibri"/>
          <w:bCs/>
          <w:sz w:val="20"/>
          <w:szCs w:val="20"/>
          <w:lang w:val="en-US" w:eastAsia="ru-RU"/>
        </w:rPr>
        <w:t>Mountaineers Books. Mountaineering: The freedom of the hills. 10th ed. Seattle: Mountaineers Books; 2024. 624 p.</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val="en-US" w:eastAsia="ru-RU"/>
        </w:rPr>
      </w:pPr>
      <w:r w:rsidRPr="00430A25">
        <w:rPr>
          <w:rFonts w:eastAsia="Calibri"/>
          <w:bCs/>
          <w:sz w:val="20"/>
          <w:szCs w:val="20"/>
          <w:lang w:val="en-US" w:eastAsia="ru-RU"/>
        </w:rPr>
        <w:t>Nicholson I. Climbing self-rescue: Improvised solutions for serious situations. 2nd ed. Mechanicsburg (PA): Stackpole Books; 2018. 256 p.</w:t>
      </w:r>
    </w:p>
    <w:p w:rsidR="00430A25" w:rsidRPr="00430A25" w:rsidRDefault="00430A25" w:rsidP="00430A25">
      <w:pPr>
        <w:numPr>
          <w:ilvl w:val="0"/>
          <w:numId w:val="30"/>
        </w:numPr>
        <w:spacing w:after="0" w:line="240" w:lineRule="auto"/>
        <w:ind w:left="0" w:firstLine="0"/>
        <w:contextualSpacing/>
        <w:jc w:val="both"/>
        <w:rPr>
          <w:rFonts w:eastAsia="Calibri"/>
          <w:sz w:val="20"/>
          <w:szCs w:val="20"/>
          <w:lang w:val="en-US" w:eastAsia="ru-RU"/>
        </w:rPr>
      </w:pPr>
      <w:r w:rsidRPr="00430A25">
        <w:rPr>
          <w:sz w:val="20"/>
          <w:szCs w:val="20"/>
          <w:lang w:val="en-US" w:eastAsia="ru-RU"/>
        </w:rPr>
        <w:t>Stronge WJ, Thomas M. Effectiveness of mountaineering manual belay/abseil devices. Sports Engineering. 2014;17:131</w:t>
      </w:r>
      <w:r w:rsidRPr="00430A25">
        <w:rPr>
          <w:sz w:val="20"/>
          <w:szCs w:val="20"/>
          <w:lang w:eastAsia="ru-RU"/>
        </w:rPr>
        <w:t>-</w:t>
      </w:r>
      <w:r w:rsidRPr="00430A25">
        <w:rPr>
          <w:sz w:val="20"/>
          <w:szCs w:val="20"/>
          <w:lang w:val="en-US" w:eastAsia="ru-RU"/>
        </w:rPr>
        <w:t xml:space="preserve">42. </w:t>
      </w:r>
      <w:hyperlink r:id="rId238" w:history="1">
        <w:r w:rsidRPr="00430A25">
          <w:rPr>
            <w:sz w:val="20"/>
            <w:szCs w:val="20"/>
            <w:u w:val="single"/>
            <w:lang w:val="en-US" w:eastAsia="ru-RU"/>
          </w:rPr>
          <w:t>https://doi.org/10.1007/s12283-013-0147-6</w:t>
        </w:r>
      </w:hyperlink>
      <w:r w:rsidRPr="00430A25">
        <w:rPr>
          <w:sz w:val="20"/>
          <w:szCs w:val="20"/>
          <w:lang w:eastAsia="ru-RU"/>
        </w:rPr>
        <w:t xml:space="preserve"> </w:t>
      </w:r>
      <w:r w:rsidRPr="00430A25">
        <w:rPr>
          <w:sz w:val="20"/>
          <w:szCs w:val="20"/>
          <w:lang w:val="en-US" w:eastAsia="ru-RU"/>
        </w:rPr>
        <w:t>.</w:t>
      </w:r>
    </w:p>
    <w:p w:rsidR="00430A25" w:rsidRPr="00430A25" w:rsidRDefault="00430A25" w:rsidP="00430A25">
      <w:pPr>
        <w:spacing w:after="0" w:line="240" w:lineRule="auto"/>
        <w:ind w:firstLine="709"/>
        <w:contextualSpacing/>
        <w:jc w:val="center"/>
        <w:rPr>
          <w:rFonts w:eastAsia="Calibri"/>
          <w:b/>
          <w:sz w:val="24"/>
          <w:szCs w:val="24"/>
          <w:lang w:val="en-US" w:eastAsia="ru-RU"/>
        </w:rPr>
      </w:pPr>
    </w:p>
    <w:p w:rsidR="00430A25" w:rsidRPr="00802413" w:rsidRDefault="00430A25" w:rsidP="00430A25">
      <w:pPr>
        <w:spacing w:after="0" w:line="240" w:lineRule="auto"/>
        <w:ind w:firstLine="709"/>
        <w:contextualSpacing/>
        <w:jc w:val="center"/>
        <w:rPr>
          <w:rFonts w:eastAsia="Calibri"/>
          <w:b/>
          <w:sz w:val="20"/>
          <w:szCs w:val="24"/>
          <w:lang w:val="en-US" w:eastAsia="ru-RU"/>
        </w:rPr>
      </w:pPr>
      <w:r w:rsidRPr="00802413">
        <w:rPr>
          <w:rFonts w:eastAsia="Calibri"/>
          <w:b/>
          <w:sz w:val="20"/>
          <w:szCs w:val="24"/>
          <w:lang w:val="en-US" w:eastAsia="ru-RU"/>
        </w:rPr>
        <w:t>References</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 xml:space="preserve">Hryhorovych A, Ryzhenko D. Pytannia zabezpechennia bezpeky pry provedenni zmahan zi sportyvnoho turyzmu. Olympicus. 2024;(4):10-16. </w:t>
      </w:r>
      <w:hyperlink r:id="rId239" w:history="1">
        <w:r w:rsidRPr="00430A25">
          <w:rPr>
            <w:rFonts w:eastAsia="Calibri"/>
            <w:bCs/>
            <w:sz w:val="20"/>
            <w:szCs w:val="20"/>
            <w:u w:val="single"/>
            <w:lang w:val="en-US" w:eastAsia="ru-RU"/>
          </w:rPr>
          <w:t>https://doi.org/10.24195/olympicus/2024-4.2</w:t>
        </w:r>
      </w:hyperlink>
      <w:r w:rsidRPr="00430A25">
        <w:rPr>
          <w:rFonts w:eastAsia="Calibri"/>
          <w:bCs/>
          <w:sz w:val="20"/>
          <w:szCs w:val="20"/>
          <w:lang w:eastAsia="ru-RU"/>
        </w:rPr>
        <w:t>.</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Pravyla sportyvnykh zmahan zi sportyvnoho turyzmu. Kyiv: Ministerstvo molodi ta sportu Ukrainy; 2025. 47</w:t>
      </w:r>
      <w:r w:rsidRPr="00430A25">
        <w:rPr>
          <w:rFonts w:eastAsia="Calibri"/>
          <w:bCs/>
          <w:sz w:val="20"/>
          <w:szCs w:val="20"/>
          <w:lang w:eastAsia="ru-RU"/>
        </w:rPr>
        <w:t> </w:t>
      </w:r>
      <w:r w:rsidRPr="00430A25">
        <w:rPr>
          <w:rFonts w:eastAsia="Calibri"/>
          <w:bCs/>
          <w:sz w:val="20"/>
          <w:szCs w:val="20"/>
          <w:lang w:val="en-US" w:eastAsia="ru-RU"/>
        </w:rPr>
        <w:t>s. URL: https://drive.google.com/file/d/1sI2Q7x_B8Q7CDQXdwFnuVkDA4DqMuHBg/view</w:t>
      </w:r>
      <w:r w:rsidRPr="00430A25">
        <w:rPr>
          <w:rFonts w:eastAsia="Calibri"/>
          <w:bCs/>
          <w:sz w:val="20"/>
          <w:szCs w:val="20"/>
          <w:lang w:eastAsia="ru-RU"/>
        </w:rPr>
        <w:t>.</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 xml:space="preserve">Ryzhenko D. Yu., Skalii T. V. Vyznachennia shliakhiv pidvyshchennia efektyvnosti pidhotovky sportsmeniv dlia vystupu na dystantsii «riatuvalni tekhnichni pryiomy u hirskomu turyzmi». Fizychna kultura, sport ta zdorovia natsii. 2023;16:99-106. </w:t>
      </w:r>
      <w:hyperlink r:id="rId240" w:history="1">
        <w:r w:rsidRPr="00430A25">
          <w:rPr>
            <w:rFonts w:eastAsia="Calibri"/>
            <w:sz w:val="20"/>
            <w:szCs w:val="20"/>
            <w:u w:val="single"/>
            <w:lang w:eastAsia="ru-RU"/>
          </w:rPr>
          <w:t>https://doi.org/10.31652/2071-5285-2023-16(35)-99-106</w:t>
        </w:r>
      </w:hyperlink>
      <w:r w:rsidRPr="00430A25">
        <w:rPr>
          <w:rFonts w:eastAsia="Calibri"/>
          <w:sz w:val="20"/>
          <w:szCs w:val="20"/>
          <w:lang w:eastAsia="ru-RU"/>
        </w:rPr>
        <w:t>.</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Tekhnichnyi rehlament provedennia sportyvnykh zmahan zi sportyvnoho turyzmu (hrupa sportyvnykh dystsyplin – «dystantsiia hirska»). Kyiv; 2021. 188</w:t>
      </w:r>
      <w:r w:rsidRPr="00430A25">
        <w:rPr>
          <w:rFonts w:eastAsia="Calibri"/>
          <w:bCs/>
          <w:sz w:val="20"/>
          <w:szCs w:val="20"/>
          <w:lang w:eastAsia="ru-RU"/>
        </w:rPr>
        <w:t> </w:t>
      </w:r>
      <w:r w:rsidRPr="00430A25">
        <w:rPr>
          <w:rFonts w:eastAsia="Calibri"/>
          <w:bCs/>
          <w:sz w:val="20"/>
          <w:szCs w:val="20"/>
          <w:lang w:val="en-US" w:eastAsia="ru-RU"/>
        </w:rPr>
        <w:t>s. URL: https://www.mountain.net.ua/content/uploads/tehnichnij-reglament.-distanczi%D1%97-vvedeno-v-diyu-01.11.2021.pdf</w:t>
      </w:r>
      <w:r w:rsidRPr="00430A25">
        <w:rPr>
          <w:rFonts w:eastAsia="Calibri"/>
          <w:bCs/>
          <w:sz w:val="20"/>
          <w:szCs w:val="20"/>
          <w:lang w:eastAsia="ru-RU"/>
        </w:rPr>
        <w:t>.</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 xml:space="preserve">UIAA. Alpine rescue techniques. Bern: International Climbing and Mountaineering Federation (UIAA); 2019. 312 p. </w:t>
      </w:r>
      <w:hyperlink r:id="rId241" w:history="1">
        <w:r w:rsidRPr="00430A25">
          <w:rPr>
            <w:rFonts w:eastAsia="Calibri"/>
            <w:bCs/>
            <w:sz w:val="20"/>
            <w:szCs w:val="20"/>
            <w:u w:val="single"/>
            <w:lang w:val="en-US" w:eastAsia="ru-RU"/>
          </w:rPr>
          <w:t>https://www.scribd.com/document/964128099/Mountain-Rescue-Manual-1</w:t>
        </w:r>
      </w:hyperlink>
      <w:r w:rsidRPr="00430A25">
        <w:rPr>
          <w:rFonts w:eastAsia="Calibri"/>
          <w:bCs/>
          <w:sz w:val="20"/>
          <w:szCs w:val="20"/>
          <w:lang w:val="en-US" w:eastAsia="ru-RU"/>
        </w:rPr>
        <w:t xml:space="preserve">. </w:t>
      </w:r>
    </w:p>
    <w:p w:rsidR="00430A25" w:rsidRPr="00430A25" w:rsidRDefault="00430A25" w:rsidP="00430A25">
      <w:pPr>
        <w:numPr>
          <w:ilvl w:val="0"/>
          <w:numId w:val="31"/>
        </w:numPr>
        <w:spacing w:after="0" w:line="240" w:lineRule="auto"/>
        <w:ind w:left="0" w:firstLine="0"/>
        <w:contextualSpacing/>
        <w:jc w:val="both"/>
        <w:rPr>
          <w:rFonts w:eastAsia="Calibri"/>
          <w:sz w:val="20"/>
          <w:szCs w:val="20"/>
          <w:lang w:val="en-US" w:eastAsia="ru-RU"/>
        </w:rPr>
      </w:pPr>
      <w:r w:rsidRPr="00430A25">
        <w:rPr>
          <w:rFonts w:eastAsia="Calibri"/>
          <w:sz w:val="20"/>
          <w:szCs w:val="20"/>
          <w:lang w:val="en-US" w:eastAsia="ru-RU"/>
        </w:rPr>
        <w:lastRenderedPageBreak/>
        <w:t xml:space="preserve">Fuss FK, Niegl G. Design and mechanics of belay devices and rope brakes. Sports Technology. 2010;3(2):68–87. </w:t>
      </w:r>
      <w:hyperlink r:id="rId242" w:history="1">
        <w:r w:rsidRPr="00430A25">
          <w:rPr>
            <w:rFonts w:eastAsia="Calibri"/>
            <w:sz w:val="20"/>
            <w:szCs w:val="20"/>
            <w:u w:val="single"/>
            <w:lang w:val="en-US" w:eastAsia="ru-RU"/>
          </w:rPr>
          <w:t>https://doi.org/10.1080/19346182.2010.538401</w:t>
        </w:r>
      </w:hyperlink>
      <w:r w:rsidRPr="00430A25">
        <w:rPr>
          <w:rFonts w:eastAsia="Calibri"/>
          <w:sz w:val="20"/>
          <w:szCs w:val="20"/>
          <w:lang w:val="en-US" w:eastAsia="ru-RU"/>
        </w:rPr>
        <w:t>.</w:t>
      </w:r>
    </w:p>
    <w:p w:rsidR="00430A25" w:rsidRPr="00430A25" w:rsidRDefault="00430A25" w:rsidP="00430A25">
      <w:pPr>
        <w:numPr>
          <w:ilvl w:val="0"/>
          <w:numId w:val="31"/>
        </w:numPr>
        <w:spacing w:after="0" w:line="240" w:lineRule="auto"/>
        <w:ind w:left="0" w:firstLine="0"/>
        <w:contextualSpacing/>
        <w:jc w:val="both"/>
        <w:rPr>
          <w:rFonts w:eastAsia="Calibri"/>
          <w:sz w:val="20"/>
          <w:szCs w:val="20"/>
          <w:lang w:val="en-US" w:eastAsia="ru-RU"/>
        </w:rPr>
      </w:pPr>
      <w:r w:rsidRPr="00430A25">
        <w:rPr>
          <w:rFonts w:eastAsia="Calibri"/>
          <w:sz w:val="20"/>
          <w:szCs w:val="20"/>
          <w:lang w:val="en-US" w:eastAsia="ru-RU"/>
        </w:rPr>
        <w:t xml:space="preserve">Fuss FK, Niegl G. Understanding the mechanics of dynamic rope brakes. Procedia Engineering. 2010;2(2):3322–3328. </w:t>
      </w:r>
      <w:hyperlink r:id="rId243" w:history="1">
        <w:r w:rsidRPr="00430A25">
          <w:rPr>
            <w:rFonts w:eastAsia="Calibri"/>
            <w:sz w:val="20"/>
            <w:szCs w:val="20"/>
            <w:u w:val="single"/>
            <w:lang w:val="en-US" w:eastAsia="ru-RU"/>
          </w:rPr>
          <w:t>https://doi.org/10.1016/j.proeng.2010.04.152</w:t>
        </w:r>
      </w:hyperlink>
      <w:r w:rsidRPr="00430A25">
        <w:rPr>
          <w:rFonts w:eastAsia="Calibri"/>
          <w:sz w:val="20"/>
          <w:szCs w:val="20"/>
          <w:lang w:val="en-US" w:eastAsia="ru-RU"/>
        </w:rPr>
        <w:t>.</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Mountaineers Books. Mountaineering: The freedom of the hills. 10th ed. Seattle: Mountaineers Books; 2024. 624 p.</w:t>
      </w:r>
    </w:p>
    <w:p w:rsidR="00430A25" w:rsidRPr="00430A25" w:rsidRDefault="00430A25" w:rsidP="00430A25">
      <w:pPr>
        <w:numPr>
          <w:ilvl w:val="0"/>
          <w:numId w:val="31"/>
        </w:numPr>
        <w:spacing w:after="0" w:line="240" w:lineRule="auto"/>
        <w:ind w:left="0" w:firstLine="0"/>
        <w:contextualSpacing/>
        <w:jc w:val="both"/>
        <w:rPr>
          <w:rFonts w:eastAsia="Calibri"/>
          <w:bCs/>
          <w:sz w:val="20"/>
          <w:szCs w:val="20"/>
          <w:lang w:val="en-US" w:eastAsia="ru-RU"/>
        </w:rPr>
      </w:pPr>
      <w:r w:rsidRPr="00430A25">
        <w:rPr>
          <w:rFonts w:eastAsia="Calibri"/>
          <w:bCs/>
          <w:sz w:val="20"/>
          <w:szCs w:val="20"/>
          <w:lang w:val="en-US" w:eastAsia="ru-RU"/>
        </w:rPr>
        <w:t>Nicholson I. Climbing self-rescue: Improvised solutions for serious situations. 2nd ed. Mechanicsburg (PA): Stackpole Books; 2018. 256 p.</w:t>
      </w:r>
    </w:p>
    <w:p w:rsidR="00430A25" w:rsidRPr="00430A25" w:rsidRDefault="00430A25" w:rsidP="00430A25">
      <w:pPr>
        <w:numPr>
          <w:ilvl w:val="0"/>
          <w:numId w:val="31"/>
        </w:numPr>
        <w:spacing w:after="0" w:line="240" w:lineRule="auto"/>
        <w:ind w:left="0" w:firstLine="0"/>
        <w:contextualSpacing/>
        <w:jc w:val="both"/>
        <w:rPr>
          <w:rFonts w:eastAsia="Calibri"/>
          <w:sz w:val="20"/>
          <w:szCs w:val="20"/>
          <w:lang w:val="en-US" w:eastAsia="ru-RU"/>
        </w:rPr>
      </w:pPr>
      <w:r w:rsidRPr="00430A25">
        <w:rPr>
          <w:sz w:val="20"/>
          <w:szCs w:val="20"/>
          <w:lang w:val="en-US" w:eastAsia="ru-RU"/>
        </w:rPr>
        <w:t>Stronge WJ, Thomas M. Effectiveness of mountaineering manual belay/abseil devices. Sports Engineering. 2014;17:131</w:t>
      </w:r>
      <w:r w:rsidRPr="00430A25">
        <w:rPr>
          <w:sz w:val="20"/>
          <w:szCs w:val="20"/>
          <w:lang w:eastAsia="ru-RU"/>
        </w:rPr>
        <w:t>-</w:t>
      </w:r>
      <w:r w:rsidRPr="00430A25">
        <w:rPr>
          <w:sz w:val="20"/>
          <w:szCs w:val="20"/>
          <w:lang w:val="en-US" w:eastAsia="ru-RU"/>
        </w:rPr>
        <w:t xml:space="preserve">42. </w:t>
      </w:r>
      <w:hyperlink r:id="rId244" w:history="1">
        <w:r w:rsidRPr="00430A25">
          <w:rPr>
            <w:sz w:val="20"/>
            <w:szCs w:val="20"/>
            <w:u w:val="single"/>
            <w:lang w:val="en-US" w:eastAsia="ru-RU"/>
          </w:rPr>
          <w:t>https://doi.org/10.1007/s12283-013-0147-6</w:t>
        </w:r>
      </w:hyperlink>
      <w:r w:rsidRPr="00430A25">
        <w:rPr>
          <w:sz w:val="20"/>
          <w:szCs w:val="20"/>
          <w:lang w:eastAsia="ru-RU"/>
        </w:rPr>
        <w:t xml:space="preserve"> </w:t>
      </w:r>
      <w:r w:rsidRPr="00430A25">
        <w:rPr>
          <w:sz w:val="20"/>
          <w:szCs w:val="20"/>
          <w:lang w:val="en-US" w:eastAsia="ru-RU"/>
        </w:rPr>
        <w:t>.</w:t>
      </w:r>
    </w:p>
    <w:p w:rsidR="00430A25" w:rsidRDefault="00430A25" w:rsidP="00430A25">
      <w:pPr>
        <w:autoSpaceDE w:val="0"/>
        <w:autoSpaceDN w:val="0"/>
        <w:adjustRightInd w:val="0"/>
        <w:spacing w:after="0" w:line="240" w:lineRule="auto"/>
        <w:ind w:left="1495"/>
        <w:jc w:val="both"/>
        <w:rPr>
          <w:rFonts w:eastAsia="Calibri"/>
          <w:sz w:val="20"/>
          <w:szCs w:val="20"/>
        </w:rPr>
      </w:pPr>
    </w:p>
    <w:p w:rsidR="004C1B48" w:rsidRPr="00430A25" w:rsidRDefault="004C1B48" w:rsidP="00430A25">
      <w:pPr>
        <w:autoSpaceDE w:val="0"/>
        <w:autoSpaceDN w:val="0"/>
        <w:adjustRightInd w:val="0"/>
        <w:spacing w:after="0" w:line="240" w:lineRule="auto"/>
        <w:ind w:left="1495"/>
        <w:jc w:val="both"/>
        <w:rPr>
          <w:rFonts w:eastAsia="Calibri"/>
          <w:sz w:val="20"/>
          <w:szCs w:val="20"/>
        </w:rPr>
      </w:pPr>
    </w:p>
    <w:tbl>
      <w:tblPr>
        <w:tblStyle w:val="9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430A25" w:rsidRPr="00430A25" w:rsidTr="00430A25">
        <w:tc>
          <w:tcPr>
            <w:tcW w:w="9286" w:type="dxa"/>
            <w:shd w:val="clear" w:color="auto" w:fill="BFBFBF"/>
          </w:tcPr>
          <w:p w:rsidR="00430A25" w:rsidRPr="00430A25" w:rsidRDefault="00430A25" w:rsidP="00430A25">
            <w:pPr>
              <w:spacing w:before="100" w:after="100" w:line="240" w:lineRule="auto"/>
              <w:jc w:val="both"/>
              <w:rPr>
                <w:b/>
                <w:sz w:val="20"/>
                <w:szCs w:val="20"/>
              </w:rPr>
            </w:pPr>
            <w:r w:rsidRPr="00430A25">
              <w:rPr>
                <w:b/>
                <w:sz w:val="20"/>
                <w:szCs w:val="24"/>
              </w:rPr>
              <w:t>Цитування на</w:t>
            </w:r>
            <w:r w:rsidRPr="00430A25">
              <w:rPr>
                <w:b/>
                <w:spacing w:val="2"/>
                <w:sz w:val="20"/>
                <w:szCs w:val="24"/>
              </w:rPr>
              <w:t xml:space="preserve"> </w:t>
            </w:r>
            <w:r w:rsidRPr="00430A25">
              <w:rPr>
                <w:b/>
                <w:sz w:val="20"/>
                <w:szCs w:val="24"/>
              </w:rPr>
              <w:t>цю статтю:</w:t>
            </w:r>
          </w:p>
        </w:tc>
      </w:tr>
      <w:tr w:rsidR="00430A25" w:rsidRPr="00430A25" w:rsidTr="00C07F42">
        <w:tc>
          <w:tcPr>
            <w:tcW w:w="9286" w:type="dxa"/>
          </w:tcPr>
          <w:p w:rsidR="00430A25" w:rsidRPr="00430A25" w:rsidRDefault="00430A25" w:rsidP="004C1B48">
            <w:pPr>
              <w:spacing w:before="100" w:after="100" w:line="240" w:lineRule="auto"/>
              <w:jc w:val="both"/>
              <w:rPr>
                <w:i/>
                <w:sz w:val="20"/>
                <w:szCs w:val="20"/>
                <w:lang w:val="uk-UA"/>
              </w:rPr>
            </w:pPr>
            <w:r w:rsidRPr="00430A25">
              <w:rPr>
                <w:bCs/>
                <w:iCs/>
                <w:sz w:val="20"/>
                <w:szCs w:val="20"/>
                <w:lang w:val="uk-UA"/>
              </w:rPr>
              <w:t>Риженко ДЮ</w:t>
            </w:r>
            <w:r w:rsidRPr="00430A25">
              <w:rPr>
                <w:rFonts w:cs="Mangal"/>
                <w:kern w:val="1"/>
                <w:sz w:val="20"/>
                <w:szCs w:val="20"/>
                <w:lang w:val="uk-UA" w:bidi="hi-IN"/>
              </w:rPr>
              <w:t xml:space="preserve">. </w:t>
            </w:r>
            <w:r w:rsidRPr="00430A25">
              <w:rPr>
                <w:bCs/>
                <w:sz w:val="20"/>
                <w:szCs w:val="20"/>
                <w:lang w:val="uk-UA"/>
              </w:rPr>
              <w:t>Аналіз правильності виконання технічного прийому «спуск спортсмена із нарощуванням спускових та страхувальних мотузок» у практиці спортивного туризму.</w:t>
            </w:r>
            <w:r w:rsidRPr="00430A25">
              <w:rPr>
                <w:rFonts w:cs="Mangal"/>
                <w:kern w:val="1"/>
                <w:sz w:val="20"/>
                <w:szCs w:val="20"/>
                <w:lang w:val="uk-UA" w:bidi="hi-IN"/>
              </w:rPr>
              <w:t xml:space="preserve"> </w:t>
            </w:r>
            <w:r w:rsidRPr="00430A25">
              <w:rPr>
                <w:sz w:val="20"/>
                <w:szCs w:val="20"/>
              </w:rPr>
              <w:t>Вісник Прикарпатського університету</w:t>
            </w:r>
            <w:r w:rsidRPr="00430A25">
              <w:rPr>
                <w:rFonts w:cs="Mangal"/>
                <w:kern w:val="1"/>
                <w:sz w:val="20"/>
                <w:szCs w:val="20"/>
                <w:lang w:bidi="hi-IN"/>
              </w:rPr>
              <w:t xml:space="preserve"> </w:t>
            </w:r>
            <w:r w:rsidRPr="00430A25">
              <w:rPr>
                <w:kern w:val="1"/>
                <w:sz w:val="20"/>
                <w:szCs w:val="20"/>
                <w:lang w:bidi="hi-IN"/>
              </w:rPr>
              <w:t>Серія:</w:t>
            </w:r>
            <w:r w:rsidRPr="00430A25">
              <w:rPr>
                <w:rFonts w:cs="Mangal"/>
                <w:kern w:val="1"/>
                <w:sz w:val="20"/>
                <w:szCs w:val="20"/>
                <w:lang w:bidi="hi-IN"/>
              </w:rPr>
              <w:t xml:space="preserve"> </w:t>
            </w:r>
            <w:r w:rsidRPr="00430A25">
              <w:rPr>
                <w:kern w:val="1"/>
                <w:sz w:val="20"/>
                <w:szCs w:val="20"/>
                <w:lang w:bidi="hi-IN"/>
              </w:rPr>
              <w:t>Фізична</w:t>
            </w:r>
            <w:r w:rsidRPr="00430A25">
              <w:rPr>
                <w:rFonts w:cs="Mangal"/>
                <w:kern w:val="1"/>
                <w:sz w:val="20"/>
                <w:szCs w:val="20"/>
                <w:lang w:bidi="hi-IN"/>
              </w:rPr>
              <w:t xml:space="preserve"> </w:t>
            </w:r>
            <w:r w:rsidRPr="00430A25">
              <w:rPr>
                <w:spacing w:val="-1"/>
                <w:kern w:val="1"/>
                <w:sz w:val="20"/>
                <w:szCs w:val="20"/>
                <w:lang w:bidi="hi-IN"/>
              </w:rPr>
              <w:t>культура.</w:t>
            </w:r>
            <w:r w:rsidRPr="00430A25">
              <w:rPr>
                <w:rFonts w:cs="Mangal"/>
                <w:spacing w:val="5"/>
                <w:kern w:val="1"/>
                <w:sz w:val="20"/>
                <w:szCs w:val="20"/>
                <w:lang w:bidi="hi-IN"/>
              </w:rPr>
              <w:t xml:space="preserve"> </w:t>
            </w:r>
            <w:r w:rsidRPr="00430A25">
              <w:rPr>
                <w:rFonts w:cs="Mangal"/>
                <w:spacing w:val="1"/>
                <w:kern w:val="1"/>
                <w:sz w:val="20"/>
                <w:szCs w:val="20"/>
                <w:lang w:bidi="hi-IN"/>
              </w:rPr>
              <w:t>2026</w:t>
            </w:r>
            <w:r w:rsidRPr="00430A25">
              <w:rPr>
                <w:rFonts w:cs="Mangal"/>
                <w:kern w:val="1"/>
                <w:sz w:val="20"/>
                <w:szCs w:val="20"/>
                <w:lang w:bidi="hi-IN"/>
              </w:rPr>
              <w:t xml:space="preserve"> </w:t>
            </w:r>
            <w:r w:rsidRPr="00430A25">
              <w:rPr>
                <w:spacing w:val="-1"/>
                <w:kern w:val="1"/>
                <w:sz w:val="20"/>
                <w:szCs w:val="20"/>
                <w:lang w:val="uk-UA" w:bidi="hi-IN"/>
              </w:rPr>
              <w:t>Трав</w:t>
            </w:r>
            <w:r w:rsidRPr="00430A25">
              <w:rPr>
                <w:spacing w:val="-1"/>
                <w:kern w:val="1"/>
                <w:sz w:val="20"/>
                <w:szCs w:val="20"/>
                <w:lang w:bidi="hi-IN"/>
              </w:rPr>
              <w:t>ень 0</w:t>
            </w:r>
            <w:r w:rsidRPr="00430A25">
              <w:rPr>
                <w:spacing w:val="-1"/>
                <w:kern w:val="1"/>
                <w:sz w:val="20"/>
                <w:szCs w:val="20"/>
                <w:lang w:val="uk-UA" w:bidi="hi-IN"/>
              </w:rPr>
              <w:t>5</w:t>
            </w:r>
            <w:r w:rsidRPr="00430A25">
              <w:rPr>
                <w:rFonts w:cs="Mangal"/>
                <w:spacing w:val="1"/>
                <w:kern w:val="1"/>
                <w:sz w:val="20"/>
                <w:szCs w:val="20"/>
                <w:lang w:bidi="hi-IN"/>
              </w:rPr>
              <w:t>;</w:t>
            </w:r>
            <w:r w:rsidRPr="00430A25">
              <w:rPr>
                <w:rFonts w:cs="Mangal"/>
                <w:spacing w:val="-1"/>
                <w:kern w:val="1"/>
                <w:sz w:val="20"/>
                <w:szCs w:val="20"/>
                <w:lang w:bidi="hi-IN"/>
              </w:rPr>
              <w:t xml:space="preserve"> </w:t>
            </w:r>
            <w:r w:rsidRPr="00430A25">
              <w:rPr>
                <w:rFonts w:cs="Mangal"/>
                <w:spacing w:val="1"/>
                <w:kern w:val="1"/>
                <w:sz w:val="20"/>
                <w:szCs w:val="20"/>
                <w:lang w:bidi="hi-IN"/>
              </w:rPr>
              <w:t>46:</w:t>
            </w:r>
            <w:r w:rsidRPr="00430A25">
              <w:rPr>
                <w:sz w:val="20"/>
                <w:szCs w:val="20"/>
              </w:rPr>
              <w:t xml:space="preserve"> </w:t>
            </w:r>
            <w:r w:rsidRPr="00430A25">
              <w:rPr>
                <w:sz w:val="20"/>
                <w:szCs w:val="20"/>
                <w:lang w:val="uk-UA"/>
              </w:rPr>
              <w:t>84</w:t>
            </w:r>
            <w:r w:rsidRPr="00430A25">
              <w:rPr>
                <w:sz w:val="20"/>
                <w:szCs w:val="20"/>
              </w:rPr>
              <w:t>-</w:t>
            </w:r>
            <w:r w:rsidR="004C1B48">
              <w:rPr>
                <w:sz w:val="20"/>
                <w:szCs w:val="20"/>
                <w:lang w:val="uk-UA"/>
              </w:rPr>
              <w:t>89</w:t>
            </w:r>
          </w:p>
        </w:tc>
      </w:tr>
    </w:tbl>
    <w:p w:rsidR="00430A25" w:rsidRPr="00430A25" w:rsidRDefault="00430A25" w:rsidP="00430A25">
      <w:pPr>
        <w:autoSpaceDE w:val="0"/>
        <w:autoSpaceDN w:val="0"/>
        <w:adjustRightInd w:val="0"/>
        <w:spacing w:after="0" w:line="240" w:lineRule="auto"/>
        <w:ind w:left="1560"/>
        <w:jc w:val="both"/>
        <w:rPr>
          <w:rFonts w:eastAsia="Calibri"/>
          <w:sz w:val="20"/>
          <w:szCs w:val="20"/>
        </w:rPr>
      </w:pPr>
    </w:p>
    <w:p w:rsidR="00430A25" w:rsidRPr="00430A25" w:rsidRDefault="00430A25" w:rsidP="00430A25">
      <w:pPr>
        <w:autoSpaceDE w:val="0"/>
        <w:autoSpaceDN w:val="0"/>
        <w:adjustRightInd w:val="0"/>
        <w:spacing w:after="0" w:line="240" w:lineRule="auto"/>
        <w:ind w:left="360"/>
        <w:jc w:val="both"/>
        <w:rPr>
          <w:rFonts w:eastAsia="Calibri"/>
          <w:sz w:val="20"/>
          <w:szCs w:val="20"/>
        </w:rPr>
      </w:pPr>
    </w:p>
    <w:tbl>
      <w:tblPr>
        <w:tblStyle w:val="91"/>
        <w:tblW w:w="9322" w:type="dxa"/>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322"/>
      </w:tblGrid>
      <w:tr w:rsidR="00430A25" w:rsidRPr="00430A25" w:rsidTr="00802413">
        <w:tc>
          <w:tcPr>
            <w:tcW w:w="9322" w:type="dxa"/>
            <w:shd w:val="clear" w:color="auto" w:fill="BFBFBF"/>
          </w:tcPr>
          <w:p w:rsidR="00430A25" w:rsidRPr="00430A25" w:rsidRDefault="00430A25" w:rsidP="00430A25">
            <w:pPr>
              <w:spacing w:before="100" w:after="100" w:line="240" w:lineRule="auto"/>
              <w:ind w:left="360"/>
              <w:jc w:val="both"/>
              <w:rPr>
                <w:b/>
                <w:sz w:val="20"/>
                <w:szCs w:val="20"/>
              </w:rPr>
            </w:pPr>
            <w:r w:rsidRPr="00430A25">
              <w:rPr>
                <w:b/>
                <w:sz w:val="20"/>
                <w:szCs w:val="20"/>
              </w:rPr>
              <w:t>Відомості про авторів</w:t>
            </w:r>
          </w:p>
        </w:tc>
      </w:tr>
      <w:tr w:rsidR="00430A25" w:rsidRPr="00430A25" w:rsidTr="00802413">
        <w:tc>
          <w:tcPr>
            <w:tcW w:w="9322" w:type="dxa"/>
          </w:tcPr>
          <w:p w:rsidR="00430A25" w:rsidRPr="00430A25" w:rsidRDefault="00430A25" w:rsidP="00430A25">
            <w:pPr>
              <w:spacing w:after="0" w:line="240" w:lineRule="auto"/>
              <w:jc w:val="both"/>
              <w:rPr>
                <w:rFonts w:eastAsia="Calibri"/>
                <w:sz w:val="20"/>
                <w:szCs w:val="20"/>
                <w:lang w:val="uk-UA"/>
              </w:rPr>
            </w:pPr>
            <w:r w:rsidRPr="00430A25">
              <w:rPr>
                <w:rFonts w:eastAsia="Calibri"/>
                <w:b/>
                <w:i/>
                <w:sz w:val="20"/>
                <w:szCs w:val="20"/>
                <w:lang w:val="uk-UA"/>
              </w:rPr>
              <w:t xml:space="preserve">Риженко Дар’я Юріївна </w:t>
            </w:r>
            <w:r w:rsidRPr="00430A25">
              <w:rPr>
                <w:rFonts w:eastAsia="Calibri"/>
                <w:sz w:val="20"/>
                <w:szCs w:val="20"/>
                <w:lang w:val="uk-UA"/>
              </w:rPr>
              <w:t>– здобувач третього (освітньо-наукового) рівня вищої освіти, Харківська державна академія фізичної культури.</w:t>
            </w:r>
          </w:p>
          <w:p w:rsidR="00430A25" w:rsidRPr="00430A25" w:rsidRDefault="00430A25" w:rsidP="00430A25">
            <w:pPr>
              <w:spacing w:after="0" w:line="240" w:lineRule="auto"/>
              <w:jc w:val="both"/>
              <w:rPr>
                <w:rFonts w:eastAsia="Calibri"/>
                <w:b/>
                <w:sz w:val="20"/>
                <w:szCs w:val="20"/>
                <w:lang w:val="uk-UA"/>
              </w:rPr>
            </w:pPr>
            <w:r w:rsidRPr="00430A25">
              <w:rPr>
                <w:rFonts w:eastAsia="Calibri"/>
                <w:sz w:val="20"/>
                <w:szCs w:val="20"/>
              </w:rPr>
              <w:t>https</w:t>
            </w:r>
            <w:r w:rsidRPr="00430A25">
              <w:rPr>
                <w:rFonts w:eastAsia="Calibri"/>
                <w:sz w:val="20"/>
                <w:szCs w:val="20"/>
                <w:lang w:val="uk-UA"/>
              </w:rPr>
              <w:t>://</w:t>
            </w:r>
            <w:r w:rsidRPr="00430A25">
              <w:rPr>
                <w:rFonts w:eastAsia="Calibri"/>
                <w:sz w:val="20"/>
                <w:szCs w:val="20"/>
              </w:rPr>
              <w:t>orcid</w:t>
            </w:r>
            <w:r w:rsidRPr="00430A25">
              <w:rPr>
                <w:rFonts w:eastAsia="Calibri"/>
                <w:sz w:val="20"/>
                <w:szCs w:val="20"/>
                <w:lang w:val="uk-UA"/>
              </w:rPr>
              <w:t>.</w:t>
            </w:r>
            <w:r w:rsidRPr="00430A25">
              <w:rPr>
                <w:rFonts w:eastAsia="Calibri"/>
                <w:sz w:val="20"/>
                <w:szCs w:val="20"/>
              </w:rPr>
              <w:t>org</w:t>
            </w:r>
            <w:r w:rsidRPr="00430A25">
              <w:rPr>
                <w:rFonts w:eastAsia="Calibri"/>
                <w:sz w:val="20"/>
                <w:szCs w:val="20"/>
                <w:lang w:val="uk-UA"/>
              </w:rPr>
              <w:t>/0009-0009-4113-3081</w:t>
            </w:r>
          </w:p>
          <w:p w:rsidR="00430A25" w:rsidRPr="00430A25" w:rsidRDefault="00430A25" w:rsidP="00430A25">
            <w:pPr>
              <w:spacing w:after="0" w:line="240" w:lineRule="auto"/>
              <w:jc w:val="both"/>
              <w:rPr>
                <w:rFonts w:ascii="Arial" w:eastAsia="Calibri" w:hAnsi="Arial" w:cs="Arial"/>
                <w:sz w:val="20"/>
                <w:szCs w:val="20"/>
                <w:shd w:val="clear" w:color="auto" w:fill="FFFFFF"/>
                <w:lang w:val="uk-UA"/>
              </w:rPr>
            </w:pPr>
            <w:r w:rsidRPr="00430A25">
              <w:rPr>
                <w:rFonts w:eastAsia="Calibri"/>
                <w:sz w:val="20"/>
                <w:szCs w:val="20"/>
              </w:rPr>
              <w:t>E</w:t>
            </w:r>
            <w:r w:rsidRPr="00430A25">
              <w:rPr>
                <w:rFonts w:eastAsia="Calibri"/>
                <w:sz w:val="20"/>
                <w:szCs w:val="20"/>
                <w:lang w:val="uk-UA"/>
              </w:rPr>
              <w:t>-</w:t>
            </w:r>
            <w:r w:rsidRPr="00430A25">
              <w:rPr>
                <w:rFonts w:eastAsia="Calibri"/>
                <w:sz w:val="20"/>
                <w:szCs w:val="20"/>
              </w:rPr>
              <w:t>mail</w:t>
            </w:r>
            <w:r w:rsidRPr="00430A25">
              <w:rPr>
                <w:rFonts w:eastAsia="Calibri"/>
                <w:sz w:val="20"/>
                <w:szCs w:val="20"/>
                <w:lang w:val="uk-UA"/>
              </w:rPr>
              <w:t xml:space="preserve">: </w:t>
            </w:r>
            <w:r w:rsidRPr="00430A25">
              <w:rPr>
                <w:rFonts w:eastAsia="Calibri"/>
                <w:sz w:val="20"/>
                <w:szCs w:val="20"/>
              </w:rPr>
              <w:t>friend</w:t>
            </w:r>
            <w:r w:rsidRPr="00430A25">
              <w:rPr>
                <w:rFonts w:eastAsia="Calibri"/>
                <w:sz w:val="20"/>
                <w:szCs w:val="20"/>
                <w:lang w:val="uk-UA"/>
              </w:rPr>
              <w:t>313019@</w:t>
            </w:r>
            <w:r w:rsidRPr="00430A25">
              <w:rPr>
                <w:rFonts w:eastAsia="Calibri"/>
                <w:sz w:val="20"/>
                <w:szCs w:val="20"/>
              </w:rPr>
              <w:t>gmail</w:t>
            </w:r>
            <w:r w:rsidRPr="00430A25">
              <w:rPr>
                <w:rFonts w:eastAsia="Calibri"/>
                <w:sz w:val="20"/>
                <w:szCs w:val="20"/>
                <w:lang w:val="uk-UA"/>
              </w:rPr>
              <w:t>.</w:t>
            </w:r>
            <w:r w:rsidRPr="00430A25">
              <w:rPr>
                <w:rFonts w:eastAsia="Calibri"/>
                <w:sz w:val="20"/>
                <w:szCs w:val="20"/>
              </w:rPr>
              <w:t>com</w:t>
            </w:r>
          </w:p>
        </w:tc>
      </w:tr>
    </w:tbl>
    <w:p w:rsidR="00430A25" w:rsidRPr="00430A25" w:rsidRDefault="00430A25" w:rsidP="00430A25">
      <w:pPr>
        <w:spacing w:after="0" w:line="240" w:lineRule="auto"/>
        <w:ind w:left="360"/>
        <w:jc w:val="both"/>
        <w:rPr>
          <w:rFonts w:eastAsia="Calibri"/>
          <w:sz w:val="20"/>
          <w:szCs w:val="20"/>
          <w:lang w:eastAsia="ru-RU"/>
        </w:rPr>
      </w:pPr>
    </w:p>
    <w:p w:rsidR="00430A25" w:rsidRPr="00430A25" w:rsidRDefault="00430A25" w:rsidP="00430A25">
      <w:pPr>
        <w:spacing w:after="0" w:line="240" w:lineRule="auto"/>
        <w:ind w:left="360"/>
        <w:jc w:val="both"/>
        <w:rPr>
          <w:rFonts w:eastAsia="Calibri"/>
          <w:sz w:val="20"/>
          <w:szCs w:val="20"/>
          <w:lang w:eastAsia="ru-RU"/>
        </w:rPr>
      </w:pPr>
    </w:p>
    <w:p w:rsidR="00430A25" w:rsidRPr="00430A25" w:rsidRDefault="00430A25" w:rsidP="00430A25">
      <w:pPr>
        <w:spacing w:after="0" w:line="240" w:lineRule="auto"/>
        <w:ind w:left="3544"/>
        <w:jc w:val="both"/>
        <w:rPr>
          <w:rFonts w:eastAsia="Calibri"/>
          <w:sz w:val="20"/>
          <w:szCs w:val="20"/>
          <w:lang w:eastAsia="ru-RU"/>
        </w:rPr>
      </w:pPr>
      <w:r w:rsidRPr="00430A25">
        <w:rPr>
          <w:rFonts w:eastAsia="Calibri"/>
          <w:sz w:val="20"/>
          <w:szCs w:val="20"/>
          <w:lang w:eastAsia="ru-RU"/>
        </w:rPr>
        <w:t>Дата першого надходження статті до видання: 03.05.2026</w:t>
      </w:r>
    </w:p>
    <w:p w:rsidR="00430A25" w:rsidRPr="00430A25" w:rsidRDefault="00430A25" w:rsidP="00430A25">
      <w:pPr>
        <w:spacing w:after="0" w:line="240" w:lineRule="auto"/>
        <w:ind w:left="3544"/>
        <w:jc w:val="both"/>
        <w:rPr>
          <w:rFonts w:eastAsia="Calibri"/>
          <w:sz w:val="20"/>
          <w:szCs w:val="20"/>
          <w:lang w:eastAsia="ru-RU"/>
        </w:rPr>
      </w:pPr>
      <w:r w:rsidRPr="00430A25">
        <w:rPr>
          <w:rFonts w:eastAsia="Calibri"/>
          <w:sz w:val="20"/>
          <w:szCs w:val="20"/>
          <w:lang w:eastAsia="ru-RU"/>
        </w:rPr>
        <w:t>Дата прийняття статті до друку після рецензування: 16.05.2026</w:t>
      </w:r>
    </w:p>
    <w:p w:rsidR="006206D2" w:rsidRDefault="00430A25" w:rsidP="00430A25">
      <w:pPr>
        <w:spacing w:after="0" w:line="240" w:lineRule="auto"/>
        <w:ind w:left="3544"/>
        <w:jc w:val="both"/>
        <w:rPr>
          <w:rFonts w:eastAsia="Calibri"/>
          <w:sz w:val="20"/>
          <w:szCs w:val="20"/>
          <w:lang w:eastAsia="ru-RU"/>
        </w:rPr>
      </w:pPr>
      <w:r w:rsidRPr="00430A25">
        <w:rPr>
          <w:rFonts w:eastAsia="Calibri"/>
          <w:sz w:val="20"/>
          <w:szCs w:val="20"/>
          <w:lang w:eastAsia="ru-RU"/>
        </w:rPr>
        <w:t>Дата публікації (оприлюднення) статті: 30.05.2026</w:t>
      </w:r>
    </w:p>
    <w:p w:rsidR="006206D2" w:rsidRDefault="006206D2">
      <w:pPr>
        <w:spacing w:after="160" w:line="259" w:lineRule="auto"/>
        <w:rPr>
          <w:rFonts w:eastAsia="Calibri"/>
          <w:sz w:val="20"/>
          <w:szCs w:val="20"/>
          <w:lang w:eastAsia="ru-RU"/>
        </w:rPr>
      </w:pPr>
      <w:r>
        <w:rPr>
          <w:rFonts w:eastAsia="Calibri"/>
          <w:sz w:val="20"/>
          <w:szCs w:val="20"/>
          <w:lang w:eastAsia="ru-RU"/>
        </w:rPr>
        <w:br w:type="page"/>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3"/>
        <w:gridCol w:w="5347"/>
      </w:tblGrid>
      <w:tr w:rsidR="006206D2" w:rsidRPr="00895032" w:rsidTr="006206D2">
        <w:tc>
          <w:tcPr>
            <w:tcW w:w="3723" w:type="dxa"/>
          </w:tcPr>
          <w:p w:rsidR="006206D2" w:rsidRPr="00895032" w:rsidRDefault="006206D2" w:rsidP="000E5F67">
            <w:pPr>
              <w:widowControl w:val="0"/>
              <w:autoSpaceDE w:val="0"/>
              <w:autoSpaceDN w:val="0"/>
              <w:spacing w:after="0" w:line="240" w:lineRule="auto"/>
              <w:rPr>
                <w:sz w:val="20"/>
                <w:szCs w:val="20"/>
                <w:lang w:val="uk-UA" w:eastAsia="uk-UA"/>
              </w:rPr>
            </w:pPr>
            <w:r w:rsidRPr="00895032">
              <w:rPr>
                <w:sz w:val="20"/>
                <w:szCs w:val="20"/>
                <w:lang w:val="uk-UA" w:eastAsia="uk-UA"/>
              </w:rPr>
              <w:lastRenderedPageBreak/>
              <w:t>УДК 376-056.263:796.325:371.7</w:t>
            </w:r>
          </w:p>
          <w:p w:rsidR="006206D2" w:rsidRPr="00895032" w:rsidRDefault="006206D2" w:rsidP="000E5F67">
            <w:pPr>
              <w:widowControl w:val="0"/>
              <w:autoSpaceDE w:val="0"/>
              <w:autoSpaceDN w:val="0"/>
              <w:spacing w:after="0" w:line="240" w:lineRule="auto"/>
              <w:rPr>
                <w:sz w:val="20"/>
                <w:szCs w:val="20"/>
                <w:lang w:eastAsia="uk-UA"/>
              </w:rPr>
            </w:pPr>
            <w:r w:rsidRPr="00895032">
              <w:rPr>
                <w:sz w:val="20"/>
                <w:szCs w:val="20"/>
                <w:lang w:val="uk-UA" w:eastAsia="uk-UA"/>
              </w:rPr>
              <w:t xml:space="preserve">doi: </w:t>
            </w:r>
            <w:r w:rsidRPr="00895032">
              <w:rPr>
                <w:rFonts w:eastAsia="SimSun"/>
                <w:kern w:val="1"/>
                <w:sz w:val="20"/>
                <w:szCs w:val="20"/>
                <w:lang w:val="uk-UA" w:eastAsia="zh-CN" w:bidi="hi-IN"/>
              </w:rPr>
              <w:t>10.15330/fcult.</w:t>
            </w:r>
            <w:r w:rsidRPr="00895032">
              <w:rPr>
                <w:rFonts w:eastAsia="SimSun"/>
                <w:kern w:val="1"/>
                <w:sz w:val="20"/>
                <w:szCs w:val="20"/>
                <w:lang w:eastAsia="zh-CN" w:bidi="hi-IN"/>
              </w:rPr>
              <w:t>91</w:t>
            </w:r>
            <w:r w:rsidRPr="00895032">
              <w:rPr>
                <w:rFonts w:eastAsia="SimSun"/>
                <w:kern w:val="1"/>
                <w:sz w:val="20"/>
                <w:szCs w:val="20"/>
                <w:lang w:val="uk-UA" w:eastAsia="zh-CN" w:bidi="hi-IN"/>
              </w:rPr>
              <w:t>-</w:t>
            </w:r>
            <w:r w:rsidRPr="00895032">
              <w:rPr>
                <w:rFonts w:eastAsia="SimSun"/>
                <w:kern w:val="1"/>
                <w:sz w:val="20"/>
                <w:szCs w:val="20"/>
                <w:lang w:eastAsia="zh-CN" w:bidi="hi-IN"/>
              </w:rPr>
              <w:t>98</w:t>
            </w:r>
          </w:p>
        </w:tc>
        <w:tc>
          <w:tcPr>
            <w:tcW w:w="5347" w:type="dxa"/>
          </w:tcPr>
          <w:p w:rsidR="006206D2" w:rsidRPr="00895032" w:rsidRDefault="006206D2" w:rsidP="000E5F67">
            <w:pPr>
              <w:widowControl w:val="0"/>
              <w:autoSpaceDE w:val="0"/>
              <w:autoSpaceDN w:val="0"/>
              <w:spacing w:after="0" w:line="240" w:lineRule="auto"/>
              <w:jc w:val="right"/>
              <w:rPr>
                <w:i/>
                <w:sz w:val="20"/>
                <w:szCs w:val="20"/>
                <w:lang w:val="uk-UA" w:eastAsia="uk-UA"/>
              </w:rPr>
            </w:pPr>
            <w:r w:rsidRPr="00895032">
              <w:rPr>
                <w:i/>
                <w:iCs/>
                <w:sz w:val="20"/>
                <w:szCs w:val="20"/>
                <w:lang w:val="uk-UA"/>
              </w:rPr>
              <w:t>Артем Почтарьов, Юрій Юрчишин</w:t>
            </w:r>
          </w:p>
        </w:tc>
      </w:tr>
    </w:tbl>
    <w:p w:rsidR="006206D2" w:rsidRPr="00895032" w:rsidRDefault="006206D2" w:rsidP="006206D2">
      <w:pPr>
        <w:widowControl w:val="0"/>
        <w:autoSpaceDE w:val="0"/>
        <w:autoSpaceDN w:val="0"/>
        <w:spacing w:after="0" w:line="240" w:lineRule="auto"/>
        <w:jc w:val="right"/>
        <w:rPr>
          <w:sz w:val="24"/>
          <w:szCs w:val="24"/>
        </w:rPr>
      </w:pPr>
    </w:p>
    <w:p w:rsidR="006206D2" w:rsidRPr="00895032" w:rsidRDefault="006206D2" w:rsidP="006206D2">
      <w:pPr>
        <w:shd w:val="clear" w:color="auto" w:fill="FFFFFF"/>
        <w:spacing w:after="0" w:line="240" w:lineRule="auto"/>
        <w:jc w:val="center"/>
        <w:rPr>
          <w:b/>
          <w:color w:val="2D2C37"/>
          <w:sz w:val="24"/>
          <w:szCs w:val="24"/>
          <w:lang w:eastAsia="uk-UA"/>
        </w:rPr>
      </w:pPr>
      <w:r w:rsidRPr="00895032">
        <w:rPr>
          <w:b/>
          <w:sz w:val="24"/>
          <w:szCs w:val="24"/>
          <w:lang w:eastAsia="uk-UA"/>
        </w:rPr>
        <w:t>ЕФЕКТИВНІСТЬ ОРГАНІЗАЦІЙНО-ПЕДАГОГІЧНИХ УМОВ УДОСКОНАЛЕННЯ РУХОВИХ ЗДІБНОСТЕЙ ДІТЕЙ З ПОРУШЕННЯМИ СЛУХУ НА УРОКАХ ФІЗИЧНОЇ КУЛЬТУРИ ЗАСОБАМИ БАДМІНТОНУ</w:t>
      </w:r>
    </w:p>
    <w:p w:rsidR="006206D2" w:rsidRPr="00895032" w:rsidRDefault="006206D2" w:rsidP="006206D2">
      <w:pPr>
        <w:shd w:val="clear" w:color="auto" w:fill="FFFFFF"/>
        <w:spacing w:after="0" w:line="240" w:lineRule="auto"/>
        <w:jc w:val="center"/>
        <w:rPr>
          <w:b/>
          <w:color w:val="2D2C37"/>
          <w:sz w:val="20"/>
          <w:szCs w:val="20"/>
          <w:lang w:eastAsia="uk-UA"/>
        </w:rPr>
      </w:pPr>
    </w:p>
    <w:p w:rsidR="006206D2" w:rsidRPr="00895032" w:rsidRDefault="006206D2" w:rsidP="006206D2">
      <w:pPr>
        <w:shd w:val="clear" w:color="auto" w:fill="FFFFFF"/>
        <w:spacing w:after="0" w:line="240" w:lineRule="auto"/>
        <w:ind w:firstLine="708"/>
        <w:jc w:val="both"/>
        <w:rPr>
          <w:sz w:val="20"/>
          <w:szCs w:val="20"/>
          <w:lang w:eastAsia="uk-UA"/>
        </w:rPr>
      </w:pPr>
      <w:r w:rsidRPr="00895032">
        <w:rPr>
          <w:b/>
          <w:sz w:val="20"/>
          <w:szCs w:val="20"/>
          <w:lang w:eastAsia="uk-UA"/>
        </w:rPr>
        <w:t>Анотація.</w:t>
      </w:r>
      <w:r w:rsidRPr="00895032">
        <w:rPr>
          <w:b/>
          <w:color w:val="2D2C37"/>
          <w:sz w:val="20"/>
          <w:szCs w:val="20"/>
          <w:lang w:eastAsia="uk-UA"/>
        </w:rPr>
        <w:t xml:space="preserve"> </w:t>
      </w:r>
      <w:r w:rsidRPr="00895032">
        <w:rPr>
          <w:i/>
          <w:iCs/>
          <w:sz w:val="20"/>
          <w:szCs w:val="20"/>
          <w:lang w:eastAsia="uk-UA"/>
        </w:rPr>
        <w:t>Вступ.</w:t>
      </w:r>
      <w:r w:rsidRPr="00895032">
        <w:rPr>
          <w:sz w:val="20"/>
          <w:szCs w:val="20"/>
          <w:lang w:eastAsia="uk-UA"/>
        </w:rPr>
        <w:t xml:space="preserve"> Актуальною проблемою адаптивного фізичного виховання є пошук ефективних засобів удосконалення рухових здібностей дітей з порушеннями слуху. Недостатній рівень координації, рівноваги та рухової активності потребує впровадження спеціально організованих педагогічних умов. </w:t>
      </w:r>
      <w:r w:rsidRPr="00895032">
        <w:rPr>
          <w:i/>
          <w:iCs/>
          <w:sz w:val="20"/>
          <w:szCs w:val="20"/>
          <w:lang w:eastAsia="uk-UA"/>
        </w:rPr>
        <w:t>Мета дослідження</w:t>
      </w:r>
      <w:r w:rsidRPr="00895032">
        <w:rPr>
          <w:sz w:val="20"/>
          <w:szCs w:val="20"/>
          <w:lang w:eastAsia="uk-UA"/>
        </w:rPr>
        <w:t xml:space="preserve"> – експериментально перевірити ефективність організаційно-педагогічних умов удосконалення рухових здібностей дівчаток 11–12 років з порушеннями слуху на уроках фізичної культури засобами бадмінтону. </w:t>
      </w:r>
      <w:r w:rsidRPr="00895032">
        <w:rPr>
          <w:i/>
          <w:iCs/>
          <w:sz w:val="20"/>
          <w:szCs w:val="20"/>
          <w:lang w:eastAsia="uk-UA"/>
        </w:rPr>
        <w:t>Матеріал і методи:</w:t>
      </w:r>
      <w:r w:rsidRPr="00895032">
        <w:rPr>
          <w:sz w:val="20"/>
          <w:szCs w:val="20"/>
          <w:lang w:eastAsia="uk-UA"/>
        </w:rPr>
        <w:t xml:space="preserve"> у дослідженні взяли участь 58 дівчаток 11–12 років з порушеннями слуху: КГ – 29, ЕГ – 29. Використано аналіз літератури, педагогічний експеримент, тестування, анкетування та методи математичної статистики. </w:t>
      </w:r>
      <w:r w:rsidRPr="00895032">
        <w:rPr>
          <w:i/>
          <w:iCs/>
          <w:sz w:val="20"/>
          <w:szCs w:val="20"/>
          <w:lang w:eastAsia="uk-UA"/>
        </w:rPr>
        <w:t>Результати.</w:t>
      </w:r>
      <w:r w:rsidRPr="00895032">
        <w:rPr>
          <w:sz w:val="20"/>
          <w:szCs w:val="20"/>
          <w:lang w:eastAsia="uk-UA"/>
        </w:rPr>
        <w:t xml:space="preserve"> В експериментальній групі встановлено достовірне покращення показників швидкості, спритності, рівноваги, гнучкості та координації рухів (р&lt;0,05). </w:t>
      </w:r>
      <w:r w:rsidRPr="00895032">
        <w:rPr>
          <w:i/>
          <w:iCs/>
          <w:sz w:val="20"/>
          <w:szCs w:val="20"/>
          <w:lang w:eastAsia="uk-UA"/>
        </w:rPr>
        <w:t xml:space="preserve">Висновки. </w:t>
      </w:r>
      <w:r w:rsidRPr="00895032">
        <w:rPr>
          <w:sz w:val="20"/>
          <w:szCs w:val="20"/>
          <w:lang w:eastAsia="uk-UA"/>
        </w:rPr>
        <w:t>Впровадження організаційно-педагогічних умов використання бадмінтону на уроках фізичної культури є ефективним засобом удосконалення рухових здібностей дітей з порушеннями слуху.</w:t>
      </w:r>
    </w:p>
    <w:p w:rsidR="006206D2" w:rsidRPr="00895032" w:rsidRDefault="006206D2" w:rsidP="006206D2">
      <w:pPr>
        <w:shd w:val="clear" w:color="auto" w:fill="FFFFFF"/>
        <w:spacing w:after="0" w:line="240" w:lineRule="auto"/>
        <w:ind w:firstLine="708"/>
        <w:jc w:val="both"/>
        <w:rPr>
          <w:sz w:val="20"/>
          <w:szCs w:val="20"/>
          <w:lang w:eastAsia="uk-UA"/>
        </w:rPr>
      </w:pPr>
      <w:r w:rsidRPr="00895032">
        <w:rPr>
          <w:b/>
          <w:bCs/>
          <w:sz w:val="20"/>
          <w:szCs w:val="20"/>
          <w:lang w:eastAsia="uk-UA"/>
        </w:rPr>
        <w:t>Ключові слова:</w:t>
      </w:r>
      <w:r w:rsidRPr="00895032">
        <w:rPr>
          <w:sz w:val="20"/>
          <w:szCs w:val="20"/>
          <w:lang w:eastAsia="uk-UA"/>
        </w:rPr>
        <w:t xml:space="preserve"> адаптивне фізичне виховання, рухова підготовленість, координаційні здібності, спеціальна освіта, фізична активність, педагогічний експеримент.</w:t>
      </w:r>
    </w:p>
    <w:p w:rsidR="006206D2" w:rsidRPr="00895032" w:rsidRDefault="006206D2" w:rsidP="006206D2">
      <w:pPr>
        <w:shd w:val="clear" w:color="auto" w:fill="FFFFFF"/>
        <w:spacing w:after="0" w:line="240" w:lineRule="auto"/>
        <w:ind w:firstLine="708"/>
        <w:jc w:val="both"/>
        <w:rPr>
          <w:sz w:val="20"/>
          <w:szCs w:val="20"/>
          <w:lang w:eastAsia="uk-UA"/>
        </w:rPr>
      </w:pPr>
    </w:p>
    <w:p w:rsidR="006206D2" w:rsidRPr="00895032" w:rsidRDefault="006206D2" w:rsidP="006206D2">
      <w:pPr>
        <w:spacing w:after="0" w:line="240" w:lineRule="auto"/>
        <w:ind w:firstLine="709"/>
        <w:jc w:val="both"/>
        <w:rPr>
          <w:sz w:val="20"/>
          <w:szCs w:val="20"/>
          <w:lang w:val="en-US" w:eastAsia="uk-UA"/>
        </w:rPr>
      </w:pPr>
      <w:r w:rsidRPr="00895032">
        <w:rPr>
          <w:b/>
          <w:bCs/>
          <w:sz w:val="20"/>
          <w:szCs w:val="20"/>
          <w:lang w:val="en-US" w:eastAsia="uk-UA"/>
        </w:rPr>
        <w:t xml:space="preserve">Abstract. </w:t>
      </w:r>
      <w:r w:rsidRPr="00895032">
        <w:rPr>
          <w:i/>
          <w:iCs/>
          <w:sz w:val="20"/>
          <w:szCs w:val="20"/>
          <w:lang w:val="en-US" w:eastAsia="uk-UA"/>
        </w:rPr>
        <w:t>Introduction.</w:t>
      </w:r>
      <w:r w:rsidRPr="00895032">
        <w:rPr>
          <w:sz w:val="20"/>
          <w:szCs w:val="20"/>
          <w:lang w:val="en-US" w:eastAsia="uk-UA"/>
        </w:rPr>
        <w:t xml:space="preserve"> One of the urgent problems of adaptive physical education is the search for effective means of improving the motor abilities of children with hearing impairments. Insufficient development of coordination abilities, balance, spatial orientation, and general motor activity in such children requires the introduction of specially organized pedagogical conditions in the process of physical education. Badminton is considered an accessible and emotionally attractive means of adaptive physical education that positively influences coordination, reaction speed, agility, and motivation for motor activity. The </w:t>
      </w:r>
      <w:r w:rsidRPr="00895032">
        <w:rPr>
          <w:i/>
          <w:sz w:val="20"/>
          <w:szCs w:val="20"/>
          <w:lang w:val="en-US" w:eastAsia="uk-UA"/>
        </w:rPr>
        <w:t xml:space="preserve">purpose </w:t>
      </w:r>
      <w:r w:rsidRPr="00895032">
        <w:rPr>
          <w:sz w:val="20"/>
          <w:szCs w:val="20"/>
          <w:lang w:val="en-US" w:eastAsia="uk-UA"/>
        </w:rPr>
        <w:t>of the article was to experimentally verify the effectiveness of organizational and pedagogical conditions for improving the motor abilities of 11–12-year-old girls with hearing impairments during physical education classes by means of badminton.</w:t>
      </w:r>
    </w:p>
    <w:p w:rsidR="006206D2" w:rsidRPr="00895032" w:rsidRDefault="006206D2" w:rsidP="006206D2">
      <w:pPr>
        <w:spacing w:after="0" w:line="240" w:lineRule="auto"/>
        <w:ind w:firstLine="709"/>
        <w:jc w:val="both"/>
        <w:rPr>
          <w:sz w:val="20"/>
          <w:szCs w:val="20"/>
          <w:lang w:val="en-US" w:eastAsia="uk-UA"/>
        </w:rPr>
      </w:pPr>
      <w:r w:rsidRPr="00895032">
        <w:rPr>
          <w:i/>
          <w:iCs/>
          <w:sz w:val="20"/>
          <w:szCs w:val="20"/>
          <w:lang w:val="en-US" w:eastAsia="uk-UA"/>
        </w:rPr>
        <w:t>Material and methods</w:t>
      </w:r>
      <w:r w:rsidRPr="00895032">
        <w:rPr>
          <w:i/>
          <w:iCs/>
          <w:sz w:val="20"/>
          <w:szCs w:val="20"/>
          <w:lang w:eastAsia="uk-UA"/>
        </w:rPr>
        <w:t>:</w:t>
      </w:r>
      <w:r w:rsidRPr="00895032">
        <w:rPr>
          <w:sz w:val="20"/>
          <w:szCs w:val="20"/>
          <w:lang w:val="en-US" w:eastAsia="uk-UA"/>
        </w:rPr>
        <w:t xml:space="preserve"> the study involved 58 girls aged 11–12 years with hearing impairments divided into a control group (n=29) and an experimental group (n=29). The following research methods were used: analysis and generalization of scientific and methodological literature, pedagogical observation, questionnaires, motor fitness testing, pedagogical experiment, and methods of mathematical statistics. The experimental methodology included adaptation of educational material, use of visual instructions and demonstration methods, gradual teaching of badminton techniques, individualization of physical loads, and application of game-based and competitive methods.</w:t>
      </w:r>
      <w:r w:rsidRPr="00895032">
        <w:rPr>
          <w:sz w:val="20"/>
          <w:szCs w:val="20"/>
          <w:lang w:eastAsia="uk-UA"/>
        </w:rPr>
        <w:t xml:space="preserve"> </w:t>
      </w:r>
      <w:r w:rsidRPr="00895032">
        <w:rPr>
          <w:i/>
          <w:iCs/>
          <w:sz w:val="20"/>
          <w:szCs w:val="20"/>
          <w:lang w:val="en-US" w:eastAsia="uk-UA"/>
        </w:rPr>
        <w:t>Results</w:t>
      </w:r>
      <w:r w:rsidRPr="00895032">
        <w:rPr>
          <w:i/>
          <w:iCs/>
          <w:sz w:val="20"/>
          <w:szCs w:val="20"/>
          <w:lang w:eastAsia="uk-UA"/>
        </w:rPr>
        <w:t>.</w:t>
      </w:r>
      <w:r w:rsidRPr="00895032">
        <w:rPr>
          <w:sz w:val="20"/>
          <w:szCs w:val="20"/>
          <w:lang w:val="en-US" w:eastAsia="uk-UA"/>
        </w:rPr>
        <w:t xml:space="preserve"> After completion of the pedagogical experiment, statistically significant improvements were found in the experimental group in indicators of speed, agility, balance, flexibility, and coordination abilities (р&lt;0.05). The girls of the experimental group also demonstrated increased interest in physical education classes and higher motor activity compared with the control group.</w:t>
      </w:r>
    </w:p>
    <w:p w:rsidR="006206D2" w:rsidRPr="00895032" w:rsidRDefault="006206D2" w:rsidP="006206D2">
      <w:pPr>
        <w:spacing w:after="0" w:line="240" w:lineRule="auto"/>
        <w:ind w:firstLine="709"/>
        <w:jc w:val="both"/>
        <w:rPr>
          <w:sz w:val="20"/>
          <w:szCs w:val="20"/>
          <w:lang w:val="en-US" w:eastAsia="uk-UA"/>
        </w:rPr>
      </w:pPr>
      <w:r w:rsidRPr="00895032">
        <w:rPr>
          <w:i/>
          <w:iCs/>
          <w:sz w:val="20"/>
          <w:szCs w:val="20"/>
          <w:lang w:val="en-US" w:eastAsia="uk-UA"/>
        </w:rPr>
        <w:t>Conclusion</w:t>
      </w:r>
      <w:r w:rsidRPr="00895032">
        <w:rPr>
          <w:i/>
          <w:iCs/>
          <w:sz w:val="20"/>
          <w:szCs w:val="20"/>
          <w:lang w:eastAsia="uk-UA"/>
        </w:rPr>
        <w:t>.</w:t>
      </w:r>
      <w:r w:rsidRPr="00895032">
        <w:rPr>
          <w:sz w:val="20"/>
          <w:szCs w:val="20"/>
          <w:lang w:val="en-US" w:eastAsia="uk-UA"/>
        </w:rPr>
        <w:t xml:space="preserve"> The implementation of organizational and pedagogical conditions for the use of badminton during physical education classes is an effective means of improving the motor abilities of girls with hearing impairments and can be recommended for use in special and inclusive secondary education institutions.</w:t>
      </w:r>
    </w:p>
    <w:p w:rsidR="006206D2" w:rsidRPr="00895032" w:rsidRDefault="006206D2" w:rsidP="006206D2">
      <w:pPr>
        <w:spacing w:after="0" w:line="240" w:lineRule="auto"/>
        <w:ind w:firstLine="709"/>
        <w:jc w:val="both"/>
        <w:rPr>
          <w:sz w:val="20"/>
          <w:szCs w:val="20"/>
          <w:lang w:val="en-US" w:eastAsia="uk-UA"/>
        </w:rPr>
      </w:pPr>
      <w:r w:rsidRPr="00895032">
        <w:rPr>
          <w:b/>
          <w:bCs/>
          <w:sz w:val="20"/>
          <w:szCs w:val="20"/>
          <w:lang w:val="en-US" w:eastAsia="uk-UA"/>
        </w:rPr>
        <w:t>Keywords:</w:t>
      </w:r>
      <w:r w:rsidRPr="00895032">
        <w:rPr>
          <w:sz w:val="20"/>
          <w:szCs w:val="20"/>
          <w:lang w:val="en-US" w:eastAsia="uk-UA"/>
        </w:rPr>
        <w:t xml:space="preserve"> adaptive physical education, motor abilities, coordination abilities, physical activity, special education, pedagogical experiment.</w:t>
      </w:r>
    </w:p>
    <w:p w:rsidR="006206D2" w:rsidRPr="00895032" w:rsidRDefault="006206D2" w:rsidP="006206D2">
      <w:pPr>
        <w:spacing w:after="0" w:line="240" w:lineRule="auto"/>
        <w:ind w:firstLine="709"/>
        <w:jc w:val="both"/>
        <w:rPr>
          <w:sz w:val="24"/>
          <w:szCs w:val="24"/>
          <w:lang w:val="en-US" w:eastAsia="uk-UA"/>
        </w:rPr>
      </w:pPr>
    </w:p>
    <w:p w:rsidR="006206D2" w:rsidRPr="00895032" w:rsidRDefault="006206D2" w:rsidP="00802413">
      <w:pPr>
        <w:framePr w:w="9001" w:h="653" w:hRule="exact" w:wrap="auto" w:vAnchor="page" w:hAnchor="page" w:x="1487" w:y="15811"/>
        <w:widowControl w:val="0"/>
        <w:autoSpaceDE w:val="0"/>
        <w:autoSpaceDN w:val="0"/>
        <w:spacing w:after="0" w:line="240" w:lineRule="auto"/>
        <w:ind w:left="33" w:right="-1" w:firstLine="109"/>
        <w:rPr>
          <w:rFonts w:eastAsia="Calibri"/>
          <w:sz w:val="20"/>
          <w:szCs w:val="20"/>
        </w:rPr>
      </w:pPr>
      <w:r w:rsidRPr="00895032">
        <w:rPr>
          <w:rFonts w:eastAsia="Calibri"/>
          <w:sz w:val="20"/>
          <w:szCs w:val="20"/>
        </w:rPr>
        <w:t>©</w:t>
      </w:r>
      <w:r w:rsidRPr="00895032">
        <w:rPr>
          <w:rFonts w:eastAsia="Calibri"/>
          <w:spacing w:val="33"/>
          <w:sz w:val="20"/>
          <w:szCs w:val="20"/>
        </w:rPr>
        <w:t xml:space="preserve"> </w:t>
      </w:r>
      <w:r w:rsidRPr="00895032">
        <w:rPr>
          <w:rFonts w:eastAsia="Calibri"/>
          <w:bCs/>
          <w:sz w:val="20"/>
          <w:szCs w:val="20"/>
        </w:rPr>
        <w:t>Почтарьов А., Юрчишин Ю.,</w:t>
      </w:r>
      <w:r w:rsidR="00802413">
        <w:rPr>
          <w:rFonts w:eastAsia="Calibri"/>
          <w:spacing w:val="1"/>
          <w:sz w:val="20"/>
          <w:szCs w:val="20"/>
        </w:rPr>
        <w:t xml:space="preserve"> 2026</w:t>
      </w:r>
      <w:r w:rsidR="00802413">
        <w:rPr>
          <w:rFonts w:eastAsia="Calibri"/>
          <w:spacing w:val="1"/>
          <w:sz w:val="20"/>
          <w:szCs w:val="20"/>
        </w:rPr>
        <w:tab/>
      </w:r>
      <w:r w:rsidR="00802413">
        <w:rPr>
          <w:rFonts w:eastAsia="Calibri"/>
          <w:spacing w:val="1"/>
          <w:sz w:val="20"/>
          <w:szCs w:val="20"/>
        </w:rPr>
        <w:tab/>
        <w:t xml:space="preserve">        </w:t>
      </w:r>
      <w:r w:rsidR="00577D33">
        <w:rPr>
          <w:rFonts w:eastAsia="Calibri"/>
          <w:spacing w:val="1"/>
          <w:sz w:val="20"/>
          <w:szCs w:val="20"/>
        </w:rPr>
        <w:t>Ув</w:t>
      </w:r>
      <w:r w:rsidRPr="00895032">
        <w:rPr>
          <w:rFonts w:eastAsia="Calibri"/>
          <w:spacing w:val="1"/>
          <w:sz w:val="20"/>
          <w:szCs w:val="20"/>
        </w:rPr>
        <w:t>есь контент ліцензовано за умовами СС BY 4.0</w:t>
      </w:r>
    </w:p>
    <w:p w:rsidR="006206D2" w:rsidRPr="00895032" w:rsidRDefault="006206D2" w:rsidP="006206D2">
      <w:pPr>
        <w:shd w:val="clear" w:color="auto" w:fill="FFFFFF"/>
        <w:spacing w:after="0" w:line="240" w:lineRule="auto"/>
        <w:ind w:firstLine="709"/>
        <w:jc w:val="both"/>
        <w:rPr>
          <w:sz w:val="24"/>
          <w:szCs w:val="24"/>
        </w:rPr>
      </w:pPr>
      <w:r w:rsidRPr="00895032">
        <w:rPr>
          <w:b/>
          <w:sz w:val="24"/>
          <w:szCs w:val="24"/>
          <w:lang w:eastAsia="uk-UA"/>
        </w:rPr>
        <w:t xml:space="preserve">Постановка проблеми й аналіз результатів останніх досліджень. </w:t>
      </w:r>
      <w:r w:rsidRPr="00895032">
        <w:rPr>
          <w:sz w:val="24"/>
          <w:szCs w:val="24"/>
        </w:rPr>
        <w:t>Сучасний розвиток системи спеціальної та інклюзивної освіти в Україні супроводжується посиленням уваги до створення ефективних умов фізичного виховання дітей з особливими освітніми потребами. Однією з найбільш актуальних проблем у цій сфері є забезпечення належного рівня рухової активності дітей з порушеннями слуху, оскільки порушення слухового аналізатора негативно впливає не лише на мовленнєвий розвиток, а й на формування координаційних здібностей, рівноваги, просторового орієнтування, швидкості реакції та загальної рухової підготовленості [1,2,3,4]. Особливого значення ця проблема набуває у молодшому підлітковому віці, коли відбувається інтенсивний розвиток основних фізичних якостей і формується стійка мотивація до занять фізичною культурою.</w:t>
      </w:r>
    </w:p>
    <w:p w:rsidR="006206D2" w:rsidRPr="00895032" w:rsidRDefault="006206D2" w:rsidP="006206D2">
      <w:pPr>
        <w:shd w:val="clear" w:color="auto" w:fill="FFFFFF"/>
        <w:spacing w:after="0" w:line="240" w:lineRule="auto"/>
        <w:ind w:firstLine="709"/>
        <w:jc w:val="both"/>
        <w:rPr>
          <w:sz w:val="24"/>
          <w:szCs w:val="24"/>
        </w:rPr>
      </w:pPr>
      <w:r w:rsidRPr="00895032">
        <w:rPr>
          <w:sz w:val="24"/>
          <w:szCs w:val="24"/>
        </w:rPr>
        <w:lastRenderedPageBreak/>
        <w:t>У сучасних дослідженнях вітчизняних авторів наголошується, що ефективне фізичне виховання дітей із порушеннями слуху повинно мати корекційно-розвивальну спрямованість та враховувати психофізичні особливості такого контингенту [2,4,5]. Зокрема, Л. Доцюк та О. Гауряк обґрунтовують необхідність використання засобів адаптивної фізичної культури для корекції фізичного розвитку школярів із порушеннями слуху [2]. У працях В. Закамалдіної, М. Мішиної та І. Петренко акцентується увага на значенні рухової активності для розвитку координаційних здібностей, соціальної адаптації та підвищення функціональних можливостей організму дітей з особливими освітніми потребами [3,4].</w:t>
      </w:r>
    </w:p>
    <w:p w:rsidR="006206D2" w:rsidRPr="00895032" w:rsidRDefault="006206D2" w:rsidP="006206D2">
      <w:pPr>
        <w:shd w:val="clear" w:color="auto" w:fill="FFFFFF"/>
        <w:spacing w:after="0" w:line="240" w:lineRule="auto"/>
        <w:ind w:firstLine="709"/>
        <w:jc w:val="both"/>
        <w:rPr>
          <w:sz w:val="24"/>
          <w:szCs w:val="24"/>
        </w:rPr>
      </w:pPr>
      <w:r w:rsidRPr="00895032">
        <w:rPr>
          <w:sz w:val="24"/>
          <w:szCs w:val="24"/>
        </w:rPr>
        <w:t>Окремий напрям досліджень пов’язаний із використанням спортивно-ігрових засобів у фізичному вихованні дітей із порушеннями слуху. Дослідники відзначають, що саме ігрова діяльність сприяє підвищенню емоційної залученості учнів, розвитку мотивації до занять та активізації рухової діяльності [6,7,8]. У цьому аспекті бадмінтон розглядається як доступний та емоційно привабливий вид рухової активності, що позитивно впливає на розвиток швидкості, спритності, координації рухів і рівноваги [9,10].</w:t>
      </w:r>
    </w:p>
    <w:p w:rsidR="006206D2" w:rsidRPr="00895032" w:rsidRDefault="006206D2" w:rsidP="006206D2">
      <w:pPr>
        <w:shd w:val="clear" w:color="auto" w:fill="FFFFFF"/>
        <w:spacing w:after="0" w:line="240" w:lineRule="auto"/>
        <w:ind w:firstLine="709"/>
        <w:jc w:val="both"/>
        <w:rPr>
          <w:sz w:val="24"/>
          <w:szCs w:val="24"/>
        </w:rPr>
      </w:pPr>
      <w:r w:rsidRPr="00895032">
        <w:rPr>
          <w:sz w:val="24"/>
          <w:szCs w:val="24"/>
        </w:rPr>
        <w:t>Зарубіжні дослідження також підтверджують ефективність використання рухової активності та спортивних ігор у роботі з дітьми, які мають порушення слуху. Зокрема, A. Goktas, A. UstUndag та A. Şahin встановили позитивний взаємозв’язок між рівнем рухової активності, виконавчими функціями та психологічним благополуччям дітей із порушеннями слуху [11]. У роботах E. Sepdanius та співавторів доведено ефективність використання візуальних відеоматеріалів для навчання технічних елементів бадмінтону дітей із порушеннями слуху [12]. Дослідження A.</w:t>
      </w:r>
      <w:r w:rsidRPr="00895032">
        <w:rPr>
          <w:sz w:val="24"/>
          <w:szCs w:val="24"/>
          <w:lang w:val="en-US"/>
        </w:rPr>
        <w:t> </w:t>
      </w:r>
      <w:r w:rsidRPr="00895032">
        <w:rPr>
          <w:sz w:val="24"/>
          <w:szCs w:val="24"/>
        </w:rPr>
        <w:t>Turner та співавторів засвідчили позитивний вплив занять бадмінтоном на розвиток постурального контролю та координаційних здібностей дітей із особливими освітніми потребами [13].</w:t>
      </w:r>
    </w:p>
    <w:p w:rsidR="006206D2" w:rsidRPr="00895032" w:rsidRDefault="006206D2" w:rsidP="006206D2">
      <w:pPr>
        <w:shd w:val="clear" w:color="auto" w:fill="FFFFFF"/>
        <w:spacing w:after="0" w:line="240" w:lineRule="auto"/>
        <w:ind w:firstLine="709"/>
        <w:jc w:val="both"/>
        <w:rPr>
          <w:sz w:val="24"/>
          <w:szCs w:val="24"/>
        </w:rPr>
      </w:pPr>
      <w:r w:rsidRPr="00895032">
        <w:rPr>
          <w:sz w:val="24"/>
          <w:szCs w:val="24"/>
        </w:rPr>
        <w:t>У власних попередніх дослідженнях було встановлено, що 86,2</w:t>
      </w:r>
      <w:r w:rsidRPr="00895032">
        <w:rPr>
          <w:sz w:val="24"/>
          <w:szCs w:val="24"/>
          <w:lang w:val="en-US"/>
        </w:rPr>
        <w:t> </w:t>
      </w:r>
      <w:r w:rsidRPr="00895032">
        <w:rPr>
          <w:sz w:val="24"/>
          <w:szCs w:val="24"/>
        </w:rPr>
        <w:t>% дівчаток 11–12 років із порушеннями слуху позитивно ставляться до уроків фізичної культури, 81</w:t>
      </w:r>
      <w:r w:rsidRPr="00895032">
        <w:rPr>
          <w:sz w:val="24"/>
          <w:szCs w:val="24"/>
          <w:lang w:val="ru-RU"/>
        </w:rPr>
        <w:t>,0</w:t>
      </w:r>
      <w:r w:rsidRPr="00895032">
        <w:rPr>
          <w:sz w:val="24"/>
          <w:szCs w:val="24"/>
          <w:lang w:val="en-US"/>
        </w:rPr>
        <w:t> </w:t>
      </w:r>
      <w:r w:rsidRPr="00895032">
        <w:rPr>
          <w:sz w:val="24"/>
          <w:szCs w:val="24"/>
        </w:rPr>
        <w:t>% надають перевагу рухливим іграм, а 25,9</w:t>
      </w:r>
      <w:r w:rsidRPr="00895032">
        <w:rPr>
          <w:sz w:val="24"/>
          <w:szCs w:val="24"/>
          <w:lang w:val="en-US"/>
        </w:rPr>
        <w:t> </w:t>
      </w:r>
      <w:r w:rsidRPr="00895032">
        <w:rPr>
          <w:sz w:val="24"/>
          <w:szCs w:val="24"/>
        </w:rPr>
        <w:t>% виявляють інтерес до бадмінтону [6</w:t>
      </w:r>
      <w:r w:rsidRPr="00895032">
        <w:rPr>
          <w:sz w:val="24"/>
          <w:szCs w:val="24"/>
          <w:lang w:val="ru-RU"/>
        </w:rPr>
        <w:t>,</w:t>
      </w:r>
      <w:r w:rsidRPr="00895032">
        <w:rPr>
          <w:sz w:val="24"/>
          <w:szCs w:val="24"/>
        </w:rPr>
        <w:t>8]. Водночас лише незначна кількість учениць володіє технічними елементами гри, що свідчить про недостатню реалізацію потенціалу бадмінтону в системі фізичного виховання дітей із порушеннями слуху.</w:t>
      </w:r>
    </w:p>
    <w:p w:rsidR="006206D2" w:rsidRPr="00895032" w:rsidRDefault="006206D2" w:rsidP="006206D2">
      <w:pPr>
        <w:shd w:val="clear" w:color="auto" w:fill="FFFFFF"/>
        <w:spacing w:after="0" w:line="240" w:lineRule="auto"/>
        <w:ind w:firstLine="709"/>
        <w:jc w:val="both"/>
        <w:rPr>
          <w:sz w:val="24"/>
          <w:szCs w:val="24"/>
        </w:rPr>
      </w:pPr>
      <w:r w:rsidRPr="00895032">
        <w:rPr>
          <w:sz w:val="24"/>
          <w:szCs w:val="24"/>
        </w:rPr>
        <w:t>Аналіз науково-методичної літератури засвідчив, що, незважаючи на наявність праць, присвячених руховій активності дітей із порушеннями слуху, питання експериментального обґрунтування організаційно-педагогічних умов використання бадмінтону на уроках фізичної культури залишається недостатньо розробленим. Недостатньо визначеними є зміст і структура таких умов, особливості адаптації навчального матеріалу, способи індивідуалізації фізичних навантажень та методи підвищення мотивації дітей до занять. Практично відсутні дослідження, у яких би комплексно перевірялася ефективність спеціально організованих педагогічних умов удосконалення рухових здібностей дівчаток 11–12 років з порушеннями слуху засобами бадмінтону. Це й зумовило актуальність обраної теми дослідження.</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b/>
          <w:sz w:val="24"/>
          <w:szCs w:val="24"/>
        </w:rPr>
        <w:t>Метою дослідження</w:t>
      </w:r>
      <w:r w:rsidRPr="00895032">
        <w:rPr>
          <w:sz w:val="24"/>
          <w:szCs w:val="24"/>
        </w:rPr>
        <w:t xml:space="preserve"> є теоретичне обґрунтування та експериментальна перевірка ефективності організаційно-педагогічних умов удосконалення рухових здібностей дівчаток 11–12 років з порушеннями слуху на уроках фізичної культури засобами бадмінтону.</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b/>
          <w:bCs/>
          <w:sz w:val="24"/>
          <w:szCs w:val="24"/>
        </w:rPr>
        <w:t>Матеріал і методи</w:t>
      </w:r>
      <w:r w:rsidR="00802413">
        <w:rPr>
          <w:b/>
          <w:bCs/>
          <w:sz w:val="24"/>
          <w:szCs w:val="24"/>
        </w:rPr>
        <w:t xml:space="preserve"> дослідження</w:t>
      </w:r>
      <w:r w:rsidRPr="00895032">
        <w:rPr>
          <w:b/>
          <w:bCs/>
          <w:sz w:val="24"/>
          <w:szCs w:val="24"/>
        </w:rPr>
        <w:t xml:space="preserve">. </w:t>
      </w:r>
      <w:r w:rsidRPr="00895032">
        <w:rPr>
          <w:i/>
          <w:iCs/>
          <w:sz w:val="24"/>
          <w:szCs w:val="24"/>
        </w:rPr>
        <w:t>Учасники дослідження.</w:t>
      </w:r>
      <w:r w:rsidRPr="00895032">
        <w:rPr>
          <w:sz w:val="24"/>
          <w:szCs w:val="24"/>
        </w:rPr>
        <w:t xml:space="preserve"> У педагогічному експерименті взяли участь 58 дівчаток 11–12 років із порушеннями слуху (середній вік – 11,3±0,6 року), які навчалися у спеціалізованих закладах загальної середньої освіти мм. Києва та Кам’янця-Подільського. Досліджуваних було розподілено на контрольну групу (КГ, n=29) та експериментальну групу (ЕГ, n=29). Усі учасниці дослідження були </w:t>
      </w:r>
      <w:r w:rsidRPr="00895032">
        <w:rPr>
          <w:sz w:val="24"/>
          <w:szCs w:val="24"/>
        </w:rPr>
        <w:lastRenderedPageBreak/>
        <w:t xml:space="preserve">допущені до занять фізичною культурою відповідно до медичних висновків. До початку педагогічного експерименту від батьків або законних представників дітей було отримано письмову інформовану згоду на участь у дослідженні та обробку персональних даних. Дослідження проводилося відповідно до етичних принципів Гельсінської декларації Всесвітньої медичної асоціації (2008). </w:t>
      </w:r>
      <w:r w:rsidRPr="00895032">
        <w:rPr>
          <w:i/>
          <w:iCs/>
          <w:sz w:val="24"/>
          <w:szCs w:val="24"/>
        </w:rPr>
        <w:t>Організація дослідження</w:t>
      </w:r>
      <w:r w:rsidRPr="00895032">
        <w:rPr>
          <w:sz w:val="24"/>
          <w:szCs w:val="24"/>
        </w:rPr>
        <w:t>. Дослідження проводилося протягом 2025–2026 навчального року у три етапи: констатувальний, формувальний та контрольний. На констатувальному етапі визначали вихідний рівень рухової підготовленості та особливості мотивації учениць до занять фізичною культурою. Для цього використовували аналіз науково-методичної літератури, педагогічне спостереження, анкетування та тестування. У процесі формувального експерименту в експериментальній групі впроваджувалися організаційно-педагогічні умови удосконалення рухових здібностей засобами бадмінтону, які передбачали адаптацію навчального матеріалу, використання візуальних інструкцій, демонстраційних методів навчання, поетапне оволодіння технічними елементами бадмінтону, індивідуалізацію фізичних навантажень, застосування ігрового та змагального методів. У контрольній групі уроки фізичної культури проводилися за чинною навчальною програмою.</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Для оцінювання ефективності запропонованих умов використовували такі тести рухової підготовленості: біг 30 м, човниковий біг 4×9 м, стрибок у довжину з місця, нахил тулуба вперед сидячи, утримання рівноваги на одній нозі та тест на координацію рухів із ракеткою і воланом. Під час проведення дослідження використовували секундомір електронний, вимірювальну рулетку, гімнастичні мати та стандартний інвентар для бадмінтону.</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i/>
          <w:iCs/>
          <w:sz w:val="24"/>
          <w:szCs w:val="24"/>
        </w:rPr>
        <w:t>Статистичний аналіз.</w:t>
      </w:r>
      <w:r w:rsidRPr="00895032">
        <w:rPr>
          <w:sz w:val="24"/>
          <w:szCs w:val="24"/>
        </w:rPr>
        <w:t xml:space="preserve"> Опрацювання результатів дослідження здійснювали методами математичної статистики з використанням програми Microsoft Excel та пакету статистичного аналізу SPSS Statistics. Визначали середнє арифметичне значення (</w:t>
      </w:r>
      <w:r w:rsidRPr="00895032">
        <w:rPr>
          <w:i/>
          <w:iCs/>
          <w:sz w:val="24"/>
          <w:szCs w:val="24"/>
        </w:rPr>
        <w:t>m</w:t>
      </w:r>
      <w:r w:rsidRPr="00895032">
        <w:rPr>
          <w:sz w:val="24"/>
          <w:szCs w:val="24"/>
        </w:rPr>
        <w:t>), стандартне відхилення (</w:t>
      </w:r>
      <w:r w:rsidRPr="00895032">
        <w:rPr>
          <w:i/>
          <w:iCs/>
          <w:sz w:val="24"/>
          <w:szCs w:val="24"/>
        </w:rPr>
        <w:t>SD</w:t>
      </w:r>
      <w:r w:rsidRPr="00895032">
        <w:rPr>
          <w:sz w:val="24"/>
          <w:szCs w:val="24"/>
        </w:rPr>
        <w:t xml:space="preserve">) та достовірність відмінностей між показниками контрольної й експериментальної груп за </w:t>
      </w:r>
      <w:r w:rsidRPr="00895032">
        <w:rPr>
          <w:i/>
          <w:iCs/>
          <w:sz w:val="24"/>
          <w:szCs w:val="24"/>
        </w:rPr>
        <w:t>t-критерієм Стьюдента</w:t>
      </w:r>
      <w:r w:rsidRPr="00895032">
        <w:rPr>
          <w:sz w:val="24"/>
          <w:szCs w:val="24"/>
        </w:rPr>
        <w:t xml:space="preserve"> для незалежних і залежних вибірок. Використання параметричних методів статистичного аналізу було зумовлене відповідністю вибірки умовам нормального розподілу. Рівень статистичної значущості приймали на рівні p&lt;0,05.</w:t>
      </w:r>
    </w:p>
    <w:p w:rsidR="006206D2" w:rsidRPr="00895032" w:rsidRDefault="006206D2" w:rsidP="006206D2">
      <w:pPr>
        <w:widowControl w:val="0"/>
        <w:shd w:val="clear" w:color="auto" w:fill="FFFFFF"/>
        <w:autoSpaceDE w:val="0"/>
        <w:autoSpaceDN w:val="0"/>
        <w:spacing w:after="0" w:line="240" w:lineRule="auto"/>
        <w:ind w:firstLine="709"/>
        <w:jc w:val="both"/>
        <w:rPr>
          <w:sz w:val="24"/>
          <w:szCs w:val="24"/>
        </w:rPr>
      </w:pPr>
      <w:r w:rsidRPr="00895032">
        <w:rPr>
          <w:b/>
          <w:bCs/>
          <w:sz w:val="24"/>
          <w:szCs w:val="24"/>
        </w:rPr>
        <w:t xml:space="preserve">Результати дослідження. </w:t>
      </w:r>
      <w:r w:rsidRPr="00895032">
        <w:rPr>
          <w:sz w:val="24"/>
          <w:szCs w:val="24"/>
        </w:rPr>
        <w:t>На початку педагогічного експерименту між показниками рухової підготовленості дівчаток контрольної та експериментальної груп статистично достовірних відмінностей не виявлено (р&gt;0,05), що свідчило про однорідність сформованих груп (табл. 1). Після завершення формувального етапу дослідження в експериментальній групі зафіксовано більш виражене покращення більшості досліджуваних показників порівняно з контрольною групою.</w:t>
      </w:r>
    </w:p>
    <w:p w:rsidR="006206D2" w:rsidRPr="00895032" w:rsidRDefault="006206D2" w:rsidP="006206D2">
      <w:pPr>
        <w:spacing w:after="0" w:line="240" w:lineRule="auto"/>
        <w:ind w:firstLine="709"/>
        <w:jc w:val="both"/>
        <w:rPr>
          <w:sz w:val="24"/>
          <w:szCs w:val="24"/>
          <w:lang w:eastAsia="uk-UA"/>
        </w:rPr>
      </w:pPr>
      <w:r w:rsidRPr="00895032">
        <w:rPr>
          <w:sz w:val="24"/>
          <w:szCs w:val="24"/>
          <w:lang w:eastAsia="uk-UA"/>
        </w:rPr>
        <w:t>Аналіз динаміки показників рухової підготовленості дівчаток 11–12 років із порушеннями слуху впродовж педагогічного експерименту засвідчив позитивні зміни в обох групах, проте більш виражене покращення спостерігалося в експериментальній групі.</w:t>
      </w:r>
    </w:p>
    <w:p w:rsidR="006206D2" w:rsidRPr="00895032" w:rsidRDefault="006206D2" w:rsidP="006206D2">
      <w:pPr>
        <w:spacing w:after="0" w:line="240" w:lineRule="auto"/>
        <w:ind w:firstLine="709"/>
        <w:jc w:val="both"/>
        <w:rPr>
          <w:sz w:val="24"/>
          <w:szCs w:val="24"/>
          <w:lang w:eastAsia="uk-UA"/>
        </w:rPr>
      </w:pPr>
      <w:r w:rsidRPr="00895032">
        <w:rPr>
          <w:sz w:val="24"/>
          <w:szCs w:val="24"/>
          <w:lang w:eastAsia="uk-UA"/>
        </w:rPr>
        <w:t>У тесті «біг 30 м» результати контрольної групи покращилися з 6,7±0,5 с до 6,5±0,4 с, що становить приріст 3,0 % (</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eastAsia="uk-UA"/>
        </w:rPr>
        <w:t>1</w:t>
      </w:r>
      <w:r w:rsidRPr="00895032">
        <w:rPr>
          <w:sz w:val="24"/>
          <w:szCs w:val="24"/>
          <w:lang w:val="ru-RU" w:eastAsia="uk-UA"/>
        </w:rPr>
        <w:t>,</w:t>
      </w:r>
      <w:r w:rsidRPr="00895032">
        <w:rPr>
          <w:sz w:val="24"/>
          <w:szCs w:val="24"/>
          <w:lang w:eastAsia="uk-UA"/>
        </w:rPr>
        <w:t>68</w:t>
      </w:r>
      <w:r w:rsidRPr="00895032">
        <w:rPr>
          <w:sz w:val="24"/>
          <w:szCs w:val="24"/>
          <w:lang w:val="ru-RU" w:eastAsia="uk-UA"/>
        </w:rPr>
        <w:t xml:space="preserve">; </w:t>
      </w:r>
      <w:r w:rsidRPr="00895032">
        <w:rPr>
          <w:sz w:val="24"/>
          <w:szCs w:val="24"/>
          <w:lang w:val="en-US" w:eastAsia="uk-UA"/>
        </w:rPr>
        <w:t>p </w:t>
      </w:r>
      <w:r w:rsidRPr="00895032">
        <w:rPr>
          <w:sz w:val="24"/>
          <w:szCs w:val="24"/>
          <w:lang w:val="ru-RU" w:eastAsia="uk-UA"/>
        </w:rPr>
        <w:t>&gt;</w:t>
      </w:r>
      <w:r w:rsidRPr="00895032">
        <w:rPr>
          <w:sz w:val="24"/>
          <w:szCs w:val="24"/>
          <w:lang w:val="en-US" w:eastAsia="uk-UA"/>
        </w:rPr>
        <w:t> </w:t>
      </w:r>
      <w:r w:rsidRPr="00895032">
        <w:rPr>
          <w:sz w:val="24"/>
          <w:szCs w:val="24"/>
          <w:lang w:eastAsia="uk-UA"/>
        </w:rPr>
        <w:t>0,05</w:t>
      </w:r>
      <w:r w:rsidRPr="00895032">
        <w:rPr>
          <w:sz w:val="24"/>
          <w:szCs w:val="24"/>
          <w:lang w:val="ru-RU" w:eastAsia="uk-UA"/>
        </w:rPr>
        <w:t>)</w:t>
      </w:r>
      <w:r w:rsidRPr="00895032">
        <w:rPr>
          <w:sz w:val="24"/>
          <w:szCs w:val="24"/>
          <w:lang w:eastAsia="uk-UA"/>
        </w:rPr>
        <w:t>, в експериментальній групі показник покращився на 7,4 % (</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5,39; </w:t>
      </w:r>
      <w:r w:rsidRPr="00895032">
        <w:rPr>
          <w:sz w:val="24"/>
          <w:szCs w:val="24"/>
          <w:lang w:val="en-US" w:eastAsia="uk-UA"/>
        </w:rPr>
        <w:t>p </w:t>
      </w:r>
      <w:r w:rsidRPr="00895032">
        <w:rPr>
          <w:sz w:val="24"/>
          <w:szCs w:val="24"/>
          <w:lang w:eastAsia="uk-UA"/>
        </w:rPr>
        <w:t>&lt;0,0</w:t>
      </w:r>
      <w:r w:rsidRPr="00895032">
        <w:rPr>
          <w:sz w:val="24"/>
          <w:szCs w:val="24"/>
          <w:lang w:val="ru-RU" w:eastAsia="uk-UA"/>
        </w:rPr>
        <w:t>01)</w:t>
      </w:r>
      <w:r w:rsidRPr="00895032">
        <w:rPr>
          <w:sz w:val="24"/>
          <w:szCs w:val="24"/>
          <w:lang w:eastAsia="uk-UA"/>
        </w:rPr>
        <w:t xml:space="preserve">. </w:t>
      </w:r>
    </w:p>
    <w:p w:rsidR="006206D2" w:rsidRPr="00895032" w:rsidRDefault="006206D2" w:rsidP="006206D2">
      <w:pPr>
        <w:spacing w:after="0" w:line="240" w:lineRule="auto"/>
        <w:ind w:firstLine="709"/>
        <w:jc w:val="both"/>
        <w:rPr>
          <w:sz w:val="24"/>
          <w:szCs w:val="24"/>
          <w:lang w:val="ru-RU" w:eastAsia="uk-UA"/>
        </w:rPr>
      </w:pPr>
      <w:r w:rsidRPr="00895032">
        <w:rPr>
          <w:sz w:val="24"/>
          <w:szCs w:val="24"/>
          <w:lang w:eastAsia="uk-UA"/>
        </w:rPr>
        <w:t>У човниковому бігу 4×9 м також зафіксовано позитивну динаміку. У контрольній групі результат покращився на 2,3</w:t>
      </w:r>
      <w:r w:rsidRPr="00895032">
        <w:rPr>
          <w:sz w:val="24"/>
          <w:szCs w:val="24"/>
          <w:lang w:val="en-US" w:eastAsia="uk-UA"/>
        </w:rPr>
        <w:t> </w:t>
      </w:r>
      <w:r w:rsidRPr="00895032">
        <w:rPr>
          <w:sz w:val="24"/>
          <w:szCs w:val="24"/>
          <w:lang w:eastAsia="uk-UA"/>
        </w:rPr>
        <w:t>%</w:t>
      </w:r>
      <w:r w:rsidRPr="00895032">
        <w:rPr>
          <w:sz w:val="24"/>
          <w:szCs w:val="24"/>
          <w:lang w:val="ru-RU" w:eastAsia="uk-UA"/>
        </w:rPr>
        <w:t xml:space="preserve"> </w:t>
      </w:r>
      <w:r w:rsidRPr="00895032">
        <w:rPr>
          <w:sz w:val="24"/>
          <w:szCs w:val="24"/>
          <w:lang w:eastAsia="uk-UA"/>
        </w:rPr>
        <w:t>(</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2,28; </w:t>
      </w:r>
      <w:r w:rsidRPr="00895032">
        <w:rPr>
          <w:sz w:val="24"/>
          <w:szCs w:val="24"/>
          <w:lang w:val="en-US" w:eastAsia="uk-UA"/>
        </w:rPr>
        <w:t>p </w:t>
      </w:r>
      <w:r w:rsidRPr="00895032">
        <w:rPr>
          <w:sz w:val="24"/>
          <w:szCs w:val="24"/>
          <w:lang w:val="ru-RU" w:eastAsia="uk-UA"/>
        </w:rPr>
        <w:t>&lt;</w:t>
      </w:r>
      <w:r w:rsidRPr="00895032">
        <w:rPr>
          <w:sz w:val="24"/>
          <w:szCs w:val="24"/>
          <w:lang w:val="en-US" w:eastAsia="uk-UA"/>
        </w:rPr>
        <w:t> </w:t>
      </w:r>
      <w:r w:rsidRPr="00895032">
        <w:rPr>
          <w:sz w:val="24"/>
          <w:szCs w:val="24"/>
          <w:lang w:eastAsia="uk-UA"/>
        </w:rPr>
        <w:t>0,05</w:t>
      </w:r>
      <w:r w:rsidRPr="00895032">
        <w:rPr>
          <w:sz w:val="24"/>
          <w:szCs w:val="24"/>
          <w:lang w:val="ru-RU" w:eastAsia="uk-UA"/>
        </w:rPr>
        <w:t>)</w:t>
      </w:r>
      <w:r w:rsidRPr="00895032">
        <w:rPr>
          <w:sz w:val="24"/>
          <w:szCs w:val="24"/>
          <w:lang w:eastAsia="uk-UA"/>
        </w:rPr>
        <w:t>, тоді як в експериментальній групі – на 8,3 %</w:t>
      </w:r>
      <w:r w:rsidRPr="00895032">
        <w:rPr>
          <w:sz w:val="24"/>
          <w:szCs w:val="24"/>
          <w:lang w:val="ru-RU" w:eastAsia="uk-UA"/>
        </w:rPr>
        <w:t xml:space="preserve"> </w:t>
      </w:r>
      <w:r w:rsidRPr="00895032">
        <w:rPr>
          <w:sz w:val="24"/>
          <w:szCs w:val="24"/>
          <w:lang w:eastAsia="uk-UA"/>
        </w:rPr>
        <w:t>(</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7,58; </w:t>
      </w:r>
      <w:r w:rsidRPr="00895032">
        <w:rPr>
          <w:sz w:val="24"/>
          <w:szCs w:val="24"/>
          <w:lang w:val="en-US" w:eastAsia="uk-UA"/>
        </w:rPr>
        <w:t>p </w:t>
      </w:r>
      <w:r w:rsidRPr="00895032">
        <w:rPr>
          <w:sz w:val="24"/>
          <w:szCs w:val="24"/>
          <w:lang w:eastAsia="uk-UA"/>
        </w:rPr>
        <w:t>&lt;0,0</w:t>
      </w:r>
      <w:r w:rsidRPr="00895032">
        <w:rPr>
          <w:sz w:val="24"/>
          <w:szCs w:val="24"/>
          <w:lang w:val="ru-RU" w:eastAsia="uk-UA"/>
        </w:rPr>
        <w:t>01)</w:t>
      </w:r>
      <w:r w:rsidRPr="00895032">
        <w:rPr>
          <w:sz w:val="24"/>
          <w:szCs w:val="24"/>
          <w:lang w:eastAsia="uk-UA"/>
        </w:rPr>
        <w:t xml:space="preserve">. </w:t>
      </w:r>
    </w:p>
    <w:p w:rsidR="006206D2" w:rsidRPr="00895032" w:rsidRDefault="006206D2" w:rsidP="006206D2">
      <w:pPr>
        <w:spacing w:after="0" w:line="240" w:lineRule="auto"/>
        <w:ind w:firstLine="709"/>
        <w:jc w:val="both"/>
        <w:rPr>
          <w:sz w:val="24"/>
          <w:szCs w:val="24"/>
          <w:lang w:eastAsia="uk-UA"/>
        </w:rPr>
      </w:pPr>
      <w:r w:rsidRPr="00895032">
        <w:rPr>
          <w:sz w:val="24"/>
          <w:szCs w:val="24"/>
          <w:lang w:eastAsia="uk-UA"/>
        </w:rPr>
        <w:t>Показники швидкісно-силових здібностей за результатами стрибка у довжину з місця зросли в обох групах. У контрольній групі середній результат збільшився на 2,9 % (</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1,44; </w:t>
      </w:r>
      <w:r w:rsidRPr="00895032">
        <w:rPr>
          <w:sz w:val="24"/>
          <w:szCs w:val="24"/>
          <w:lang w:val="en-US" w:eastAsia="uk-UA"/>
        </w:rPr>
        <w:t>p </w:t>
      </w:r>
      <w:r w:rsidRPr="00895032">
        <w:rPr>
          <w:sz w:val="24"/>
          <w:szCs w:val="24"/>
          <w:lang w:val="ru-RU" w:eastAsia="uk-UA"/>
        </w:rPr>
        <w:t>&gt;</w:t>
      </w:r>
      <w:r w:rsidRPr="00895032">
        <w:rPr>
          <w:sz w:val="24"/>
          <w:szCs w:val="24"/>
          <w:lang w:val="en-US" w:eastAsia="uk-UA"/>
        </w:rPr>
        <w:t> </w:t>
      </w:r>
      <w:r w:rsidRPr="00895032">
        <w:rPr>
          <w:sz w:val="24"/>
          <w:szCs w:val="24"/>
          <w:lang w:eastAsia="uk-UA"/>
        </w:rPr>
        <w:t>0,05</w:t>
      </w:r>
      <w:r w:rsidRPr="00895032">
        <w:rPr>
          <w:sz w:val="24"/>
          <w:szCs w:val="24"/>
          <w:lang w:val="ru-RU" w:eastAsia="uk-UA"/>
        </w:rPr>
        <w:t xml:space="preserve">), </w:t>
      </w:r>
      <w:r w:rsidRPr="00895032">
        <w:rPr>
          <w:sz w:val="24"/>
          <w:szCs w:val="24"/>
          <w:lang w:val="en-US" w:eastAsia="uk-UA"/>
        </w:rPr>
        <w:t>a</w:t>
      </w:r>
      <w:r w:rsidRPr="00895032">
        <w:rPr>
          <w:sz w:val="24"/>
          <w:szCs w:val="24"/>
          <w:lang w:val="ru-RU" w:eastAsia="uk-UA"/>
        </w:rPr>
        <w:t xml:space="preserve"> в</w:t>
      </w:r>
      <w:r w:rsidRPr="00895032">
        <w:rPr>
          <w:sz w:val="24"/>
          <w:szCs w:val="24"/>
          <w:lang w:eastAsia="uk-UA"/>
        </w:rPr>
        <w:t xml:space="preserve"> експериментальній групі приріст становив 9,4 % (</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4,93; </w:t>
      </w:r>
      <w:r w:rsidRPr="00895032">
        <w:rPr>
          <w:sz w:val="24"/>
          <w:szCs w:val="24"/>
          <w:lang w:val="en-US" w:eastAsia="uk-UA"/>
        </w:rPr>
        <w:t>p </w:t>
      </w:r>
      <w:r w:rsidRPr="00895032">
        <w:rPr>
          <w:sz w:val="24"/>
          <w:szCs w:val="24"/>
          <w:lang w:eastAsia="uk-UA"/>
        </w:rPr>
        <w:t>&lt;0,0</w:t>
      </w:r>
      <w:r w:rsidRPr="00895032">
        <w:rPr>
          <w:sz w:val="24"/>
          <w:szCs w:val="24"/>
          <w:lang w:val="ru-RU" w:eastAsia="uk-UA"/>
        </w:rPr>
        <w:t>0</w:t>
      </w:r>
      <w:r w:rsidRPr="00895032">
        <w:rPr>
          <w:sz w:val="24"/>
          <w:szCs w:val="24"/>
          <w:lang w:eastAsia="uk-UA"/>
        </w:rPr>
        <w:t>1</w:t>
      </w:r>
      <w:r w:rsidRPr="00895032">
        <w:rPr>
          <w:sz w:val="24"/>
          <w:szCs w:val="24"/>
          <w:lang w:val="ru-RU" w:eastAsia="uk-UA"/>
        </w:rPr>
        <w:t>)</w:t>
      </w:r>
      <w:r w:rsidRPr="00895032">
        <w:rPr>
          <w:sz w:val="24"/>
          <w:szCs w:val="24"/>
          <w:lang w:eastAsia="uk-UA"/>
        </w:rPr>
        <w:t xml:space="preserve">. </w:t>
      </w:r>
    </w:p>
    <w:p w:rsidR="006206D2" w:rsidRPr="00895032" w:rsidRDefault="006206D2" w:rsidP="006206D2">
      <w:pPr>
        <w:widowControl w:val="0"/>
        <w:shd w:val="clear" w:color="auto" w:fill="FFFFFF"/>
        <w:autoSpaceDE w:val="0"/>
        <w:autoSpaceDN w:val="0"/>
        <w:spacing w:after="0" w:line="240" w:lineRule="auto"/>
        <w:ind w:firstLine="709"/>
        <w:jc w:val="right"/>
        <w:rPr>
          <w:i/>
          <w:iCs/>
          <w:color w:val="000000"/>
          <w:sz w:val="24"/>
          <w:szCs w:val="24"/>
          <w:lang w:val="ru-RU" w:eastAsia="ru-RU"/>
        </w:rPr>
      </w:pPr>
      <w:r w:rsidRPr="00895032">
        <w:rPr>
          <w:i/>
          <w:iCs/>
          <w:color w:val="000000"/>
          <w:sz w:val="24"/>
          <w:szCs w:val="24"/>
          <w:lang w:eastAsia="ru-RU"/>
        </w:rPr>
        <w:lastRenderedPageBreak/>
        <w:t>Таблиця 1</w:t>
      </w:r>
    </w:p>
    <w:p w:rsidR="006206D2" w:rsidRPr="00895032" w:rsidRDefault="006206D2" w:rsidP="006206D2">
      <w:pPr>
        <w:widowControl w:val="0"/>
        <w:shd w:val="clear" w:color="auto" w:fill="FFFFFF"/>
        <w:autoSpaceDE w:val="0"/>
        <w:autoSpaceDN w:val="0"/>
        <w:spacing w:after="0" w:line="240" w:lineRule="auto"/>
        <w:ind w:firstLine="708"/>
        <w:jc w:val="center"/>
        <w:rPr>
          <w:b/>
          <w:iCs/>
          <w:color w:val="000000"/>
          <w:sz w:val="24"/>
          <w:szCs w:val="24"/>
          <w:lang w:eastAsia="ru-RU"/>
        </w:rPr>
      </w:pPr>
      <w:r w:rsidRPr="00895032">
        <w:rPr>
          <w:b/>
          <w:iCs/>
          <w:color w:val="000000"/>
          <w:sz w:val="24"/>
          <w:szCs w:val="24"/>
          <w:lang w:eastAsia="ru-RU"/>
        </w:rPr>
        <w:t>Динаміка показників рухової підготовленості дівчаток 11–12 років з порушеннями слуху впродовж педагогічного експерименту (M±SD)</w:t>
      </w:r>
    </w:p>
    <w:tbl>
      <w:tblPr>
        <w:tblStyle w:val="61"/>
        <w:tblW w:w="0" w:type="auto"/>
        <w:jc w:val="center"/>
        <w:tblBorders>
          <w:insideH w:val="single" w:sz="6" w:space="0" w:color="auto"/>
          <w:insideV w:val="single" w:sz="6" w:space="0" w:color="auto"/>
        </w:tblBorders>
        <w:tblLook w:val="04A0" w:firstRow="1" w:lastRow="0" w:firstColumn="1" w:lastColumn="0" w:noHBand="0" w:noVBand="1"/>
      </w:tblPr>
      <w:tblGrid>
        <w:gridCol w:w="3819"/>
        <w:gridCol w:w="844"/>
        <w:gridCol w:w="1308"/>
        <w:gridCol w:w="1217"/>
        <w:gridCol w:w="772"/>
      </w:tblGrid>
      <w:tr w:rsidR="006206D2" w:rsidRPr="00895032" w:rsidTr="000E5F67">
        <w:trPr>
          <w:trHeight w:val="456"/>
          <w:jc w:val="center"/>
        </w:trPr>
        <w:tc>
          <w:tcPr>
            <w:tcW w:w="0" w:type="auto"/>
            <w:tcBorders>
              <w:top w:val="single" w:sz="4" w:space="0" w:color="auto"/>
              <w:bottom w:val="single" w:sz="6" w:space="0" w:color="auto"/>
              <w:right w:val="nil"/>
            </w:tcBorders>
            <w:vAlign w:val="center"/>
            <w:hideMark/>
          </w:tcPr>
          <w:p w:rsidR="006206D2" w:rsidRPr="00895032" w:rsidRDefault="006206D2" w:rsidP="000E5F67">
            <w:pPr>
              <w:spacing w:after="0" w:line="240" w:lineRule="auto"/>
              <w:jc w:val="center"/>
              <w:rPr>
                <w:color w:val="000000"/>
                <w:sz w:val="24"/>
                <w:szCs w:val="24"/>
                <w:lang w:eastAsia="ru-RU"/>
              </w:rPr>
            </w:pPr>
            <w:r w:rsidRPr="00895032">
              <w:rPr>
                <w:bCs/>
                <w:color w:val="000000"/>
                <w:sz w:val="24"/>
                <w:szCs w:val="24"/>
                <w:lang w:eastAsia="ru-RU"/>
              </w:rPr>
              <w:t>Тестові вправи</w:t>
            </w:r>
          </w:p>
        </w:tc>
        <w:tc>
          <w:tcPr>
            <w:tcW w:w="844" w:type="dxa"/>
            <w:tcBorders>
              <w:top w:val="single" w:sz="4" w:space="0" w:color="auto"/>
              <w:left w:val="nil"/>
              <w:bottom w:val="single" w:sz="6" w:space="0" w:color="auto"/>
              <w:right w:val="nil"/>
            </w:tcBorders>
            <w:vAlign w:val="center"/>
          </w:tcPr>
          <w:p w:rsidR="006206D2" w:rsidRPr="00895032" w:rsidRDefault="006206D2" w:rsidP="000E5F67">
            <w:pPr>
              <w:widowControl w:val="0"/>
              <w:autoSpaceDE w:val="0"/>
              <w:autoSpaceDN w:val="0"/>
              <w:spacing w:after="0" w:line="240" w:lineRule="auto"/>
              <w:rPr>
                <w:bCs/>
                <w:color w:val="000000"/>
                <w:sz w:val="24"/>
                <w:szCs w:val="24"/>
                <w:lang w:eastAsia="ru-RU"/>
              </w:rPr>
            </w:pPr>
            <w:r w:rsidRPr="00895032">
              <w:rPr>
                <w:bCs/>
                <w:color w:val="000000"/>
                <w:sz w:val="24"/>
                <w:szCs w:val="24"/>
                <w:lang w:eastAsia="ru-RU"/>
              </w:rPr>
              <w:t xml:space="preserve">Етапи </w:t>
            </w:r>
          </w:p>
        </w:tc>
        <w:tc>
          <w:tcPr>
            <w:tcW w:w="0" w:type="auto"/>
            <w:tcBorders>
              <w:top w:val="single" w:sz="4" w:space="0" w:color="auto"/>
              <w:left w:val="nil"/>
              <w:bottom w:val="single" w:sz="6" w:space="0" w:color="auto"/>
              <w:right w:val="nil"/>
            </w:tcBorders>
            <w:vAlign w:val="center"/>
            <w:hideMark/>
          </w:tcPr>
          <w:p w:rsidR="006206D2" w:rsidRPr="00895032" w:rsidRDefault="006206D2" w:rsidP="000E5F67">
            <w:pPr>
              <w:spacing w:after="0" w:line="240" w:lineRule="auto"/>
              <w:jc w:val="center"/>
              <w:rPr>
                <w:bCs/>
                <w:color w:val="000000"/>
                <w:sz w:val="24"/>
                <w:szCs w:val="24"/>
                <w:lang w:eastAsia="ru-RU"/>
              </w:rPr>
            </w:pPr>
            <w:r w:rsidRPr="00895032">
              <w:rPr>
                <w:bCs/>
                <w:color w:val="000000"/>
                <w:sz w:val="24"/>
                <w:szCs w:val="24"/>
                <w:lang w:eastAsia="ru-RU"/>
              </w:rPr>
              <w:t>КГ (n=29)</w:t>
            </w:r>
          </w:p>
        </w:tc>
        <w:tc>
          <w:tcPr>
            <w:tcW w:w="0" w:type="auto"/>
            <w:tcBorders>
              <w:top w:val="single" w:sz="4" w:space="0" w:color="auto"/>
              <w:left w:val="nil"/>
              <w:bottom w:val="single" w:sz="6" w:space="0" w:color="auto"/>
              <w:right w:val="nil"/>
            </w:tcBorders>
            <w:vAlign w:val="center"/>
            <w:hideMark/>
          </w:tcPr>
          <w:p w:rsidR="006206D2" w:rsidRPr="00895032" w:rsidRDefault="006206D2" w:rsidP="000E5F67">
            <w:pPr>
              <w:spacing w:after="0" w:line="240" w:lineRule="auto"/>
              <w:jc w:val="center"/>
              <w:rPr>
                <w:bCs/>
                <w:color w:val="000000"/>
                <w:sz w:val="24"/>
                <w:szCs w:val="24"/>
                <w:lang w:eastAsia="ru-RU"/>
              </w:rPr>
            </w:pPr>
            <w:r w:rsidRPr="00895032">
              <w:rPr>
                <w:bCs/>
                <w:color w:val="000000"/>
                <w:sz w:val="24"/>
                <w:szCs w:val="24"/>
                <w:lang w:eastAsia="ru-RU"/>
              </w:rPr>
              <w:t>ЕГ (n=29)</w:t>
            </w:r>
          </w:p>
        </w:tc>
        <w:tc>
          <w:tcPr>
            <w:tcW w:w="0" w:type="auto"/>
            <w:tcBorders>
              <w:top w:val="single" w:sz="4" w:space="0" w:color="auto"/>
              <w:left w:val="nil"/>
              <w:bottom w:val="single" w:sz="6" w:space="0" w:color="auto"/>
            </w:tcBorders>
            <w:vAlign w:val="center"/>
            <w:hideMark/>
          </w:tcPr>
          <w:p w:rsidR="006206D2" w:rsidRPr="00895032" w:rsidRDefault="006206D2" w:rsidP="000E5F67">
            <w:pPr>
              <w:spacing w:after="0" w:line="240" w:lineRule="auto"/>
              <w:jc w:val="center"/>
              <w:rPr>
                <w:bCs/>
                <w:color w:val="000000"/>
                <w:sz w:val="24"/>
                <w:szCs w:val="24"/>
                <w:lang w:eastAsia="ru-RU"/>
              </w:rPr>
            </w:pPr>
            <w:r w:rsidRPr="00895032">
              <w:rPr>
                <w:bCs/>
                <w:color w:val="000000"/>
                <w:sz w:val="24"/>
                <w:szCs w:val="24"/>
                <w:lang w:eastAsia="ru-RU"/>
              </w:rPr>
              <w:t>p</w:t>
            </w:r>
          </w:p>
        </w:tc>
      </w:tr>
      <w:tr w:rsidR="006206D2" w:rsidRPr="00895032" w:rsidTr="000E5F67">
        <w:trPr>
          <w:jc w:val="center"/>
        </w:trPr>
        <w:tc>
          <w:tcPr>
            <w:tcW w:w="0" w:type="auto"/>
            <w:vMerge w:val="restart"/>
            <w:tcBorders>
              <w:top w:val="single" w:sz="6" w:space="0" w:color="auto"/>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Біг 30 м, с</w:t>
            </w:r>
          </w:p>
        </w:tc>
        <w:tc>
          <w:tcPr>
            <w:tcW w:w="844" w:type="dxa"/>
            <w:tcBorders>
              <w:top w:val="single" w:sz="6" w:space="0" w:color="auto"/>
              <w:left w:val="nil"/>
              <w:bottom w:val="nil"/>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до</w:t>
            </w:r>
          </w:p>
        </w:tc>
        <w:tc>
          <w:tcPr>
            <w:tcW w:w="0" w:type="auto"/>
            <w:tcBorders>
              <w:top w:val="single" w:sz="6" w:space="0" w:color="auto"/>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6,7±0,5</w:t>
            </w:r>
          </w:p>
        </w:tc>
        <w:tc>
          <w:tcPr>
            <w:tcW w:w="0" w:type="auto"/>
            <w:tcBorders>
              <w:top w:val="single" w:sz="6" w:space="0" w:color="auto"/>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6,8±0,4</w:t>
            </w:r>
          </w:p>
        </w:tc>
        <w:tc>
          <w:tcPr>
            <w:tcW w:w="0" w:type="auto"/>
            <w:tcBorders>
              <w:top w:val="single" w:sz="6" w:space="0" w:color="auto"/>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&gt;0,05</w:t>
            </w:r>
          </w:p>
        </w:tc>
      </w:tr>
      <w:tr w:rsidR="006206D2" w:rsidRPr="00895032" w:rsidTr="000E5F67">
        <w:trPr>
          <w:jc w:val="center"/>
        </w:trPr>
        <w:tc>
          <w:tcPr>
            <w:tcW w:w="0" w:type="auto"/>
            <w:vMerge/>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p>
        </w:tc>
        <w:tc>
          <w:tcPr>
            <w:tcW w:w="844" w:type="dxa"/>
            <w:tcBorders>
              <w:top w:val="nil"/>
              <w:left w:val="nil"/>
              <w:bottom w:val="single" w:sz="4" w:space="0" w:color="auto"/>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після</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6,5±0,4</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6,3±0,3</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&lt;0,05</w:t>
            </w:r>
          </w:p>
        </w:tc>
      </w:tr>
      <w:tr w:rsidR="006206D2" w:rsidRPr="00895032" w:rsidTr="000E5F67">
        <w:trPr>
          <w:jc w:val="center"/>
        </w:trPr>
        <w:tc>
          <w:tcPr>
            <w:tcW w:w="0" w:type="auto"/>
            <w:vMerge w:val="restart"/>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Човниковий біг 4×9 м, с</w:t>
            </w:r>
          </w:p>
        </w:tc>
        <w:tc>
          <w:tcPr>
            <w:tcW w:w="844" w:type="dxa"/>
            <w:tcBorders>
              <w:top w:val="single" w:sz="4" w:space="0" w:color="auto"/>
              <w:left w:val="nil"/>
              <w:bottom w:val="nil"/>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до</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13,1±0,5</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13,2±0,6</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&gt;0,05</w:t>
            </w:r>
          </w:p>
        </w:tc>
      </w:tr>
      <w:tr w:rsidR="006206D2" w:rsidRPr="00895032" w:rsidTr="000E5F67">
        <w:trPr>
          <w:jc w:val="center"/>
        </w:trPr>
        <w:tc>
          <w:tcPr>
            <w:tcW w:w="0" w:type="auto"/>
            <w:vMerge/>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val="en-US" w:eastAsia="ru-RU"/>
              </w:rPr>
            </w:pPr>
          </w:p>
        </w:tc>
        <w:tc>
          <w:tcPr>
            <w:tcW w:w="844" w:type="dxa"/>
            <w:tcBorders>
              <w:top w:val="nil"/>
              <w:left w:val="nil"/>
              <w:bottom w:val="single" w:sz="4" w:space="0" w:color="auto"/>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після</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12,8±0,5</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12,1±0,5</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&lt;0,05</w:t>
            </w:r>
          </w:p>
        </w:tc>
      </w:tr>
      <w:tr w:rsidR="006206D2" w:rsidRPr="00895032" w:rsidTr="000E5F67">
        <w:trPr>
          <w:jc w:val="center"/>
        </w:trPr>
        <w:tc>
          <w:tcPr>
            <w:tcW w:w="0" w:type="auto"/>
            <w:vMerge w:val="restart"/>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Стрибок у довжину з місця, см</w:t>
            </w:r>
          </w:p>
        </w:tc>
        <w:tc>
          <w:tcPr>
            <w:tcW w:w="844" w:type="dxa"/>
            <w:tcBorders>
              <w:top w:val="single" w:sz="4" w:space="0" w:color="auto"/>
              <w:left w:val="nil"/>
              <w:bottom w:val="nil"/>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до</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128,4±10,2</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127,6±9,8</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&gt;0,05</w:t>
            </w:r>
          </w:p>
        </w:tc>
      </w:tr>
      <w:tr w:rsidR="006206D2" w:rsidRPr="00895032" w:rsidTr="000E5F67">
        <w:trPr>
          <w:jc w:val="center"/>
        </w:trPr>
        <w:tc>
          <w:tcPr>
            <w:tcW w:w="0" w:type="auto"/>
            <w:vMerge/>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p>
        </w:tc>
        <w:tc>
          <w:tcPr>
            <w:tcW w:w="844" w:type="dxa"/>
            <w:tcBorders>
              <w:top w:val="nil"/>
              <w:left w:val="nil"/>
              <w:bottom w:val="single" w:sz="4" w:space="0" w:color="auto"/>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після</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132,1±9,4</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139,6±8,7</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&lt;0,05</w:t>
            </w:r>
          </w:p>
        </w:tc>
      </w:tr>
      <w:tr w:rsidR="006206D2" w:rsidRPr="00895032" w:rsidTr="000E5F67">
        <w:trPr>
          <w:jc w:val="center"/>
        </w:trPr>
        <w:tc>
          <w:tcPr>
            <w:tcW w:w="0" w:type="auto"/>
            <w:vMerge w:val="restart"/>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Нахил тулуба вперед сидячи, см</w:t>
            </w:r>
          </w:p>
        </w:tc>
        <w:tc>
          <w:tcPr>
            <w:tcW w:w="844" w:type="dxa"/>
            <w:tcBorders>
              <w:top w:val="single" w:sz="4" w:space="0" w:color="auto"/>
              <w:left w:val="nil"/>
              <w:bottom w:val="nil"/>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до</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7,2±1,8</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7,0±1,7</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&gt;0,05</w:t>
            </w:r>
          </w:p>
        </w:tc>
      </w:tr>
      <w:tr w:rsidR="006206D2" w:rsidRPr="00895032" w:rsidTr="000E5F67">
        <w:trPr>
          <w:jc w:val="center"/>
        </w:trPr>
        <w:tc>
          <w:tcPr>
            <w:tcW w:w="0" w:type="auto"/>
            <w:vMerge/>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p>
        </w:tc>
        <w:tc>
          <w:tcPr>
            <w:tcW w:w="844" w:type="dxa"/>
            <w:tcBorders>
              <w:top w:val="nil"/>
              <w:left w:val="nil"/>
              <w:bottom w:val="single" w:sz="4" w:space="0" w:color="auto"/>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після</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8,0±1,5</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10,2±1,4</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&lt;0,05</w:t>
            </w:r>
          </w:p>
        </w:tc>
      </w:tr>
      <w:tr w:rsidR="006206D2" w:rsidRPr="00895032" w:rsidTr="000E5F67">
        <w:trPr>
          <w:jc w:val="center"/>
        </w:trPr>
        <w:tc>
          <w:tcPr>
            <w:tcW w:w="0" w:type="auto"/>
            <w:vMerge w:val="restart"/>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Рівновага на одній нозі, с</w:t>
            </w:r>
          </w:p>
        </w:tc>
        <w:tc>
          <w:tcPr>
            <w:tcW w:w="844" w:type="dxa"/>
            <w:tcBorders>
              <w:top w:val="single" w:sz="4" w:space="0" w:color="auto"/>
              <w:left w:val="nil"/>
              <w:bottom w:val="nil"/>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до</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11,8±2,1</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11,5±2,3</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&gt;0,05</w:t>
            </w:r>
          </w:p>
        </w:tc>
      </w:tr>
      <w:tr w:rsidR="006206D2" w:rsidRPr="00895032" w:rsidTr="000E5F67">
        <w:trPr>
          <w:jc w:val="center"/>
        </w:trPr>
        <w:tc>
          <w:tcPr>
            <w:tcW w:w="0" w:type="auto"/>
            <w:vMerge/>
            <w:tcBorders>
              <w:top w:val="nil"/>
              <w:bottom w:val="nil"/>
              <w:right w:val="nil"/>
            </w:tcBorders>
            <w:hideMark/>
          </w:tcPr>
          <w:p w:rsidR="006206D2" w:rsidRPr="00895032" w:rsidRDefault="006206D2" w:rsidP="000E5F67">
            <w:pPr>
              <w:widowControl w:val="0"/>
              <w:autoSpaceDE w:val="0"/>
              <w:autoSpaceDN w:val="0"/>
              <w:spacing w:after="0" w:line="240" w:lineRule="auto"/>
              <w:rPr>
                <w:color w:val="000000"/>
                <w:sz w:val="24"/>
                <w:szCs w:val="24"/>
                <w:lang w:eastAsia="ru-RU"/>
              </w:rPr>
            </w:pPr>
          </w:p>
        </w:tc>
        <w:tc>
          <w:tcPr>
            <w:tcW w:w="844" w:type="dxa"/>
            <w:tcBorders>
              <w:top w:val="nil"/>
              <w:left w:val="nil"/>
              <w:bottom w:val="single" w:sz="4" w:space="0" w:color="auto"/>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після</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13,4±1,8</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17,1±1,9</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&lt;0,05</w:t>
            </w:r>
          </w:p>
        </w:tc>
      </w:tr>
      <w:tr w:rsidR="006206D2" w:rsidRPr="00895032" w:rsidTr="000E5F67">
        <w:trPr>
          <w:jc w:val="center"/>
        </w:trPr>
        <w:tc>
          <w:tcPr>
            <w:tcW w:w="0" w:type="auto"/>
            <w:vMerge w:val="restart"/>
            <w:tcBorders>
              <w:top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 xml:space="preserve">Координація з ракеткою і воланом, </w:t>
            </w:r>
          </w:p>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к-ть разів</w:t>
            </w:r>
          </w:p>
        </w:tc>
        <w:tc>
          <w:tcPr>
            <w:tcW w:w="844" w:type="dxa"/>
            <w:tcBorders>
              <w:top w:val="single" w:sz="4" w:space="0" w:color="auto"/>
              <w:left w:val="nil"/>
              <w:bottom w:val="nil"/>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до</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8,4±1,9</w:t>
            </w:r>
          </w:p>
        </w:tc>
        <w:tc>
          <w:tcPr>
            <w:tcW w:w="0" w:type="auto"/>
            <w:tcBorders>
              <w:top w:val="nil"/>
              <w:left w:val="nil"/>
              <w:bottom w:val="nil"/>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8,1±2,0</w:t>
            </w:r>
          </w:p>
        </w:tc>
        <w:tc>
          <w:tcPr>
            <w:tcW w:w="0" w:type="auto"/>
            <w:tcBorders>
              <w:top w:val="nil"/>
              <w:left w:val="nil"/>
              <w:bottom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&gt;0,05</w:t>
            </w:r>
          </w:p>
        </w:tc>
      </w:tr>
      <w:tr w:rsidR="006206D2" w:rsidRPr="00895032" w:rsidTr="000E5F67">
        <w:trPr>
          <w:jc w:val="center"/>
        </w:trPr>
        <w:tc>
          <w:tcPr>
            <w:tcW w:w="0" w:type="auto"/>
            <w:vMerge/>
            <w:tcBorders>
              <w:top w:val="nil"/>
              <w:bottom w:val="single" w:sz="4" w:space="0" w:color="auto"/>
              <w:right w:val="nil"/>
            </w:tcBorders>
            <w:hideMark/>
          </w:tcPr>
          <w:p w:rsidR="006206D2" w:rsidRPr="00895032" w:rsidRDefault="006206D2" w:rsidP="000E5F67">
            <w:pPr>
              <w:spacing w:after="0" w:line="240" w:lineRule="auto"/>
              <w:rPr>
                <w:color w:val="000000"/>
                <w:sz w:val="24"/>
                <w:szCs w:val="24"/>
                <w:lang w:eastAsia="ru-RU"/>
              </w:rPr>
            </w:pPr>
          </w:p>
        </w:tc>
        <w:tc>
          <w:tcPr>
            <w:tcW w:w="844" w:type="dxa"/>
            <w:tcBorders>
              <w:top w:val="nil"/>
              <w:left w:val="nil"/>
              <w:bottom w:val="single" w:sz="4" w:space="0" w:color="auto"/>
              <w:right w:val="nil"/>
            </w:tcBorders>
          </w:tcPr>
          <w:p w:rsidR="006206D2" w:rsidRPr="00895032" w:rsidRDefault="006206D2" w:rsidP="000E5F67">
            <w:pPr>
              <w:widowControl w:val="0"/>
              <w:autoSpaceDE w:val="0"/>
              <w:autoSpaceDN w:val="0"/>
              <w:spacing w:after="0" w:line="240" w:lineRule="auto"/>
              <w:rPr>
                <w:color w:val="000000"/>
                <w:sz w:val="24"/>
                <w:szCs w:val="24"/>
                <w:lang w:eastAsia="ru-RU"/>
              </w:rPr>
            </w:pPr>
            <w:r w:rsidRPr="00895032">
              <w:rPr>
                <w:color w:val="000000"/>
                <w:sz w:val="24"/>
                <w:szCs w:val="24"/>
                <w:lang w:eastAsia="ru-RU"/>
              </w:rPr>
              <w:t>після</w:t>
            </w:r>
          </w:p>
        </w:tc>
        <w:tc>
          <w:tcPr>
            <w:tcW w:w="0" w:type="auto"/>
            <w:tcBorders>
              <w:top w:val="nil"/>
              <w:left w:val="nil"/>
              <w:bottom w:val="single" w:sz="4" w:space="0" w:color="auto"/>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10,2±1,7</w:t>
            </w:r>
          </w:p>
        </w:tc>
        <w:tc>
          <w:tcPr>
            <w:tcW w:w="0" w:type="auto"/>
            <w:tcBorders>
              <w:top w:val="nil"/>
              <w:left w:val="nil"/>
              <w:bottom w:val="single" w:sz="4" w:space="0" w:color="auto"/>
              <w:right w:val="nil"/>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15,4±1,8</w:t>
            </w:r>
          </w:p>
        </w:tc>
        <w:tc>
          <w:tcPr>
            <w:tcW w:w="0" w:type="auto"/>
            <w:tcBorders>
              <w:top w:val="nil"/>
              <w:left w:val="nil"/>
              <w:bottom w:val="single" w:sz="4" w:space="0" w:color="auto"/>
            </w:tcBorders>
            <w:hideMark/>
          </w:tcPr>
          <w:p w:rsidR="006206D2" w:rsidRPr="00895032" w:rsidRDefault="006206D2" w:rsidP="000E5F67">
            <w:pPr>
              <w:spacing w:after="0" w:line="240" w:lineRule="auto"/>
              <w:rPr>
                <w:color w:val="000000"/>
                <w:sz w:val="24"/>
                <w:szCs w:val="24"/>
                <w:lang w:eastAsia="ru-RU"/>
              </w:rPr>
            </w:pPr>
            <w:r w:rsidRPr="00895032">
              <w:rPr>
                <w:color w:val="000000"/>
                <w:sz w:val="24"/>
                <w:szCs w:val="24"/>
                <w:lang w:eastAsia="ru-RU"/>
              </w:rPr>
              <w:t>&lt;0,05</w:t>
            </w:r>
          </w:p>
        </w:tc>
      </w:tr>
    </w:tbl>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p>
    <w:p w:rsidR="006206D2" w:rsidRPr="00895032" w:rsidRDefault="003811B7" w:rsidP="006206D2">
      <w:pPr>
        <w:spacing w:after="0" w:line="240" w:lineRule="auto"/>
        <w:ind w:firstLine="709"/>
        <w:jc w:val="both"/>
        <w:rPr>
          <w:sz w:val="24"/>
          <w:szCs w:val="24"/>
          <w:lang w:eastAsia="uk-UA"/>
        </w:rPr>
      </w:pPr>
      <w:r w:rsidRPr="00895032">
        <w:rPr>
          <w:sz w:val="24"/>
          <w:szCs w:val="24"/>
          <w:lang w:eastAsia="uk-UA"/>
        </w:rPr>
        <w:t>Дослідження гнучкості за допомогою тесту «нахил тулуба вперед сидячи» показало підвищення результатів у контрольній групі на 11,1 % (</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1,84; </w:t>
      </w:r>
      <w:r w:rsidRPr="00895032">
        <w:rPr>
          <w:sz w:val="24"/>
          <w:szCs w:val="24"/>
          <w:lang w:val="en-US" w:eastAsia="uk-UA"/>
        </w:rPr>
        <w:t>p </w:t>
      </w:r>
      <w:r w:rsidRPr="00895032">
        <w:rPr>
          <w:sz w:val="24"/>
          <w:szCs w:val="24"/>
          <w:lang w:val="ru-RU" w:eastAsia="uk-UA"/>
        </w:rPr>
        <w:t>&gt;</w:t>
      </w:r>
      <w:r w:rsidRPr="00895032">
        <w:rPr>
          <w:sz w:val="24"/>
          <w:szCs w:val="24"/>
          <w:lang w:val="en-US" w:eastAsia="uk-UA"/>
        </w:rPr>
        <w:t> </w:t>
      </w:r>
      <w:r w:rsidRPr="00895032">
        <w:rPr>
          <w:sz w:val="24"/>
          <w:szCs w:val="24"/>
          <w:lang w:eastAsia="uk-UA"/>
        </w:rPr>
        <w:t>0,05</w:t>
      </w:r>
      <w:r w:rsidRPr="00895032">
        <w:rPr>
          <w:sz w:val="24"/>
          <w:szCs w:val="24"/>
          <w:lang w:val="ru-RU" w:eastAsia="uk-UA"/>
        </w:rPr>
        <w:t>)</w:t>
      </w:r>
      <w:r w:rsidRPr="00895032">
        <w:rPr>
          <w:sz w:val="24"/>
          <w:szCs w:val="24"/>
          <w:lang w:eastAsia="uk-UA"/>
        </w:rPr>
        <w:t>, а в експериментальній – на 45,7 % (</w:t>
      </w:r>
      <w:r w:rsidRPr="00895032">
        <w:rPr>
          <w:sz w:val="24"/>
          <w:szCs w:val="24"/>
          <w:lang w:val="en-US" w:eastAsia="uk-UA"/>
        </w:rPr>
        <w:t>t </w:t>
      </w:r>
      <w:r w:rsidRPr="00895032">
        <w:rPr>
          <w:sz w:val="24"/>
          <w:szCs w:val="24"/>
          <w:lang w:val="ru-RU" w:eastAsia="uk-UA"/>
        </w:rPr>
        <w:t>=</w:t>
      </w:r>
      <w:r w:rsidRPr="00895032">
        <w:rPr>
          <w:sz w:val="24"/>
          <w:szCs w:val="24"/>
          <w:lang w:val="en-US" w:eastAsia="uk-UA"/>
        </w:rPr>
        <w:t> </w:t>
      </w:r>
      <w:r w:rsidRPr="00895032">
        <w:rPr>
          <w:sz w:val="24"/>
          <w:szCs w:val="24"/>
          <w:lang w:val="ru-RU" w:eastAsia="uk-UA"/>
        </w:rPr>
        <w:t xml:space="preserve">7,82; </w:t>
      </w:r>
      <w:r w:rsidRPr="00895032">
        <w:rPr>
          <w:sz w:val="24"/>
          <w:szCs w:val="24"/>
          <w:lang w:val="en-US" w:eastAsia="uk-UA"/>
        </w:rPr>
        <w:t>p </w:t>
      </w:r>
      <w:r w:rsidRPr="00895032">
        <w:rPr>
          <w:sz w:val="24"/>
          <w:szCs w:val="24"/>
          <w:lang w:eastAsia="uk-UA"/>
        </w:rPr>
        <w:t>&lt;0,0</w:t>
      </w:r>
      <w:r w:rsidRPr="00895032">
        <w:rPr>
          <w:sz w:val="24"/>
          <w:szCs w:val="24"/>
          <w:lang w:val="ru-RU" w:eastAsia="uk-UA"/>
        </w:rPr>
        <w:t>01)</w:t>
      </w:r>
      <w:r w:rsidRPr="00895032">
        <w:rPr>
          <w:sz w:val="24"/>
          <w:szCs w:val="24"/>
          <w:lang w:eastAsia="uk-UA"/>
        </w:rPr>
        <w:t>. Отримані дані свідчать про суттєвіший розвиток гнучкості у дівчаток експериментальної групи.</w:t>
      </w:r>
      <w:r>
        <w:rPr>
          <w:sz w:val="24"/>
          <w:szCs w:val="24"/>
          <w:lang w:eastAsia="uk-UA"/>
        </w:rPr>
        <w:t xml:space="preserve"> </w:t>
      </w:r>
      <w:r w:rsidR="006206D2" w:rsidRPr="00895032">
        <w:rPr>
          <w:sz w:val="24"/>
          <w:szCs w:val="24"/>
          <w:lang w:eastAsia="uk-UA"/>
        </w:rPr>
        <w:t>Показники статичної рівноваги також мали позитивну динаміку. У контрольній групі час утримання рівноваги на одній нозі збільшився на 13,6 % (</w:t>
      </w:r>
      <w:r w:rsidR="006206D2" w:rsidRPr="00895032">
        <w:rPr>
          <w:sz w:val="24"/>
          <w:szCs w:val="24"/>
          <w:lang w:val="en-US" w:eastAsia="uk-UA"/>
        </w:rPr>
        <w:t>t </w:t>
      </w:r>
      <w:r w:rsidR="006206D2" w:rsidRPr="00895032">
        <w:rPr>
          <w:sz w:val="24"/>
          <w:szCs w:val="24"/>
          <w:lang w:val="ru-RU" w:eastAsia="uk-UA"/>
        </w:rPr>
        <w:t>=</w:t>
      </w:r>
      <w:r w:rsidR="006206D2" w:rsidRPr="00895032">
        <w:rPr>
          <w:sz w:val="24"/>
          <w:szCs w:val="24"/>
          <w:lang w:val="en-US" w:eastAsia="uk-UA"/>
        </w:rPr>
        <w:t> </w:t>
      </w:r>
      <w:r w:rsidR="006206D2" w:rsidRPr="00895032">
        <w:rPr>
          <w:sz w:val="24"/>
          <w:szCs w:val="24"/>
          <w:lang w:eastAsia="uk-UA"/>
        </w:rPr>
        <w:t>3</w:t>
      </w:r>
      <w:r w:rsidR="006206D2" w:rsidRPr="00895032">
        <w:rPr>
          <w:sz w:val="24"/>
          <w:szCs w:val="24"/>
          <w:lang w:val="ru-RU" w:eastAsia="uk-UA"/>
        </w:rPr>
        <w:t>,</w:t>
      </w:r>
      <w:r w:rsidR="006206D2" w:rsidRPr="00895032">
        <w:rPr>
          <w:sz w:val="24"/>
          <w:szCs w:val="24"/>
          <w:lang w:eastAsia="uk-UA"/>
        </w:rPr>
        <w:t>1</w:t>
      </w:r>
      <w:r w:rsidR="006206D2" w:rsidRPr="00895032">
        <w:rPr>
          <w:sz w:val="24"/>
          <w:szCs w:val="24"/>
          <w:lang w:val="ru-RU" w:eastAsia="uk-UA"/>
        </w:rPr>
        <w:t xml:space="preserve">2; </w:t>
      </w:r>
      <w:r w:rsidR="006206D2" w:rsidRPr="00895032">
        <w:rPr>
          <w:sz w:val="24"/>
          <w:szCs w:val="24"/>
          <w:lang w:val="en-US" w:eastAsia="uk-UA"/>
        </w:rPr>
        <w:t>p </w:t>
      </w:r>
      <w:r w:rsidR="006206D2" w:rsidRPr="00895032">
        <w:rPr>
          <w:sz w:val="24"/>
          <w:szCs w:val="24"/>
          <w:lang w:eastAsia="uk-UA"/>
        </w:rPr>
        <w:t>&lt;0,0</w:t>
      </w:r>
      <w:r w:rsidR="006206D2" w:rsidRPr="00895032">
        <w:rPr>
          <w:sz w:val="24"/>
          <w:szCs w:val="24"/>
          <w:lang w:val="ru-RU" w:eastAsia="uk-UA"/>
        </w:rPr>
        <w:t>1)</w:t>
      </w:r>
      <w:r w:rsidR="006206D2" w:rsidRPr="00895032">
        <w:rPr>
          <w:sz w:val="24"/>
          <w:szCs w:val="24"/>
          <w:lang w:eastAsia="uk-UA"/>
        </w:rPr>
        <w:t>, тоді як в експериментальній групі – на 48,7 % (</w:t>
      </w:r>
      <w:r w:rsidR="006206D2" w:rsidRPr="00895032">
        <w:rPr>
          <w:sz w:val="24"/>
          <w:szCs w:val="24"/>
          <w:lang w:val="en-US" w:eastAsia="uk-UA"/>
        </w:rPr>
        <w:t>t </w:t>
      </w:r>
      <w:r w:rsidR="006206D2" w:rsidRPr="00895032">
        <w:rPr>
          <w:sz w:val="24"/>
          <w:szCs w:val="24"/>
          <w:lang w:val="ru-RU" w:eastAsia="uk-UA"/>
        </w:rPr>
        <w:t>=</w:t>
      </w:r>
      <w:r w:rsidR="006206D2" w:rsidRPr="00895032">
        <w:rPr>
          <w:sz w:val="24"/>
          <w:szCs w:val="24"/>
          <w:lang w:val="en-US" w:eastAsia="uk-UA"/>
        </w:rPr>
        <w:t> </w:t>
      </w:r>
      <w:r w:rsidR="006206D2" w:rsidRPr="00895032">
        <w:rPr>
          <w:sz w:val="24"/>
          <w:szCs w:val="24"/>
          <w:lang w:eastAsia="uk-UA"/>
        </w:rPr>
        <w:t>10</w:t>
      </w:r>
      <w:r w:rsidR="006206D2" w:rsidRPr="00895032">
        <w:rPr>
          <w:sz w:val="24"/>
          <w:szCs w:val="24"/>
          <w:lang w:val="ru-RU" w:eastAsia="uk-UA"/>
        </w:rPr>
        <w:t>,</w:t>
      </w:r>
      <w:r w:rsidR="006206D2" w:rsidRPr="00895032">
        <w:rPr>
          <w:sz w:val="24"/>
          <w:szCs w:val="24"/>
          <w:lang w:eastAsia="uk-UA"/>
        </w:rPr>
        <w:t>11</w:t>
      </w:r>
      <w:r w:rsidR="006206D2" w:rsidRPr="00895032">
        <w:rPr>
          <w:sz w:val="24"/>
          <w:szCs w:val="24"/>
          <w:lang w:val="ru-RU" w:eastAsia="uk-UA"/>
        </w:rPr>
        <w:t xml:space="preserve">; </w:t>
      </w:r>
      <w:r w:rsidR="006206D2" w:rsidRPr="00895032">
        <w:rPr>
          <w:sz w:val="24"/>
          <w:szCs w:val="24"/>
          <w:lang w:val="en-US" w:eastAsia="uk-UA"/>
        </w:rPr>
        <w:t>p </w:t>
      </w:r>
      <w:r w:rsidR="006206D2" w:rsidRPr="00895032">
        <w:rPr>
          <w:sz w:val="24"/>
          <w:szCs w:val="24"/>
          <w:lang w:eastAsia="uk-UA"/>
        </w:rPr>
        <w:t>&lt;0,0</w:t>
      </w:r>
      <w:r w:rsidR="006206D2" w:rsidRPr="00895032">
        <w:rPr>
          <w:sz w:val="24"/>
          <w:szCs w:val="24"/>
          <w:lang w:val="ru-RU" w:eastAsia="uk-UA"/>
        </w:rPr>
        <w:t>01)</w:t>
      </w:r>
      <w:r w:rsidR="006206D2" w:rsidRPr="00895032">
        <w:rPr>
          <w:sz w:val="24"/>
          <w:szCs w:val="24"/>
          <w:lang w:eastAsia="uk-UA"/>
        </w:rPr>
        <w:t>. Це свідчить про значне покращення координаційних можливостей під впливом експериментальної методики.</w:t>
      </w:r>
    </w:p>
    <w:p w:rsidR="006206D2" w:rsidRPr="00895032" w:rsidRDefault="006206D2" w:rsidP="006206D2">
      <w:pPr>
        <w:widowControl w:val="0"/>
        <w:shd w:val="clear" w:color="auto" w:fill="FFFFFF"/>
        <w:autoSpaceDE w:val="0"/>
        <w:autoSpaceDN w:val="0"/>
        <w:spacing w:after="0" w:line="240" w:lineRule="auto"/>
        <w:ind w:firstLine="708"/>
        <w:jc w:val="both"/>
        <w:rPr>
          <w:color w:val="000000"/>
          <w:sz w:val="24"/>
          <w:szCs w:val="24"/>
          <w:lang w:eastAsia="ru-RU"/>
        </w:rPr>
      </w:pPr>
      <w:r w:rsidRPr="00895032">
        <w:rPr>
          <w:sz w:val="24"/>
          <w:szCs w:val="24"/>
        </w:rPr>
        <w:t>У контрольній групі кількість успішних повторень зросла на 21,4 % (</w:t>
      </w:r>
      <w:r w:rsidRPr="00895032">
        <w:rPr>
          <w:sz w:val="24"/>
          <w:szCs w:val="24"/>
          <w:lang w:val="en-US"/>
        </w:rPr>
        <w:t>t </w:t>
      </w:r>
      <w:r w:rsidRPr="00895032">
        <w:rPr>
          <w:sz w:val="24"/>
          <w:szCs w:val="24"/>
          <w:lang w:val="ru-RU"/>
        </w:rPr>
        <w:t>=</w:t>
      </w:r>
      <w:r w:rsidRPr="00895032">
        <w:rPr>
          <w:sz w:val="24"/>
          <w:szCs w:val="24"/>
          <w:lang w:val="en-US"/>
        </w:rPr>
        <w:t> </w:t>
      </w:r>
      <w:r w:rsidRPr="00895032">
        <w:rPr>
          <w:sz w:val="24"/>
          <w:szCs w:val="24"/>
        </w:rPr>
        <w:t>3</w:t>
      </w:r>
      <w:r w:rsidRPr="00895032">
        <w:rPr>
          <w:sz w:val="24"/>
          <w:szCs w:val="24"/>
          <w:lang w:val="ru-RU"/>
        </w:rPr>
        <w:t>,8</w:t>
      </w:r>
      <w:r w:rsidRPr="00895032">
        <w:rPr>
          <w:sz w:val="24"/>
          <w:szCs w:val="24"/>
        </w:rPr>
        <w:t>0</w:t>
      </w:r>
      <w:r w:rsidRPr="00895032">
        <w:rPr>
          <w:sz w:val="24"/>
          <w:szCs w:val="24"/>
          <w:lang w:val="ru-RU"/>
        </w:rPr>
        <w:t xml:space="preserve">; </w:t>
      </w:r>
      <w:r w:rsidRPr="00895032">
        <w:rPr>
          <w:sz w:val="24"/>
          <w:szCs w:val="24"/>
          <w:lang w:val="en-US"/>
        </w:rPr>
        <w:t>p </w:t>
      </w:r>
      <w:r w:rsidRPr="00895032">
        <w:rPr>
          <w:sz w:val="24"/>
          <w:szCs w:val="24"/>
          <w:lang w:eastAsia="uk-UA"/>
        </w:rPr>
        <w:t>&lt;0,0</w:t>
      </w:r>
      <w:r w:rsidRPr="00895032">
        <w:rPr>
          <w:sz w:val="24"/>
          <w:szCs w:val="24"/>
          <w:lang w:val="ru-RU"/>
        </w:rPr>
        <w:t>01)</w:t>
      </w:r>
      <w:r w:rsidRPr="00895032">
        <w:rPr>
          <w:sz w:val="24"/>
          <w:szCs w:val="24"/>
        </w:rPr>
        <w:t>, в експериментальній групі показник підвищився на 90,1 % (</w:t>
      </w:r>
      <w:r w:rsidRPr="00895032">
        <w:rPr>
          <w:sz w:val="24"/>
          <w:szCs w:val="24"/>
          <w:lang w:val="en-US"/>
        </w:rPr>
        <w:t>t </w:t>
      </w:r>
      <w:r w:rsidRPr="00895032">
        <w:rPr>
          <w:sz w:val="24"/>
          <w:szCs w:val="24"/>
          <w:lang w:val="ru-RU"/>
        </w:rPr>
        <w:t>=</w:t>
      </w:r>
      <w:r w:rsidRPr="00895032">
        <w:rPr>
          <w:sz w:val="24"/>
          <w:szCs w:val="24"/>
          <w:lang w:val="en-US"/>
        </w:rPr>
        <w:t> </w:t>
      </w:r>
      <w:r w:rsidRPr="00895032">
        <w:rPr>
          <w:sz w:val="24"/>
          <w:szCs w:val="24"/>
        </w:rPr>
        <w:t>14</w:t>
      </w:r>
      <w:r w:rsidRPr="00895032">
        <w:rPr>
          <w:sz w:val="24"/>
          <w:szCs w:val="24"/>
          <w:lang w:val="ru-RU"/>
        </w:rPr>
        <w:t>,</w:t>
      </w:r>
      <w:r w:rsidRPr="00895032">
        <w:rPr>
          <w:sz w:val="24"/>
          <w:szCs w:val="24"/>
        </w:rPr>
        <w:t>61</w:t>
      </w:r>
      <w:r w:rsidRPr="00895032">
        <w:rPr>
          <w:sz w:val="24"/>
          <w:szCs w:val="24"/>
          <w:lang w:val="ru-RU"/>
        </w:rPr>
        <w:t xml:space="preserve">; </w:t>
      </w:r>
      <w:r w:rsidRPr="00895032">
        <w:rPr>
          <w:sz w:val="24"/>
          <w:szCs w:val="24"/>
          <w:lang w:val="en-US"/>
        </w:rPr>
        <w:t>p </w:t>
      </w:r>
      <w:r w:rsidRPr="00895032">
        <w:rPr>
          <w:sz w:val="24"/>
          <w:szCs w:val="24"/>
          <w:lang w:eastAsia="uk-UA"/>
        </w:rPr>
        <w:t>&lt;0,0</w:t>
      </w:r>
      <w:r w:rsidRPr="00895032">
        <w:rPr>
          <w:sz w:val="24"/>
          <w:szCs w:val="24"/>
          <w:lang w:val="ru-RU"/>
        </w:rPr>
        <w:t>0</w:t>
      </w:r>
      <w:r w:rsidRPr="00895032">
        <w:rPr>
          <w:sz w:val="24"/>
          <w:szCs w:val="24"/>
        </w:rPr>
        <w:t>0</w:t>
      </w:r>
      <w:r w:rsidRPr="00895032">
        <w:rPr>
          <w:sz w:val="24"/>
          <w:szCs w:val="24"/>
          <w:lang w:val="ru-RU"/>
        </w:rPr>
        <w:t>)</w:t>
      </w:r>
      <w:r w:rsidRPr="00895032">
        <w:rPr>
          <w:sz w:val="24"/>
          <w:szCs w:val="24"/>
        </w:rPr>
        <w:t xml:space="preserve">. </w:t>
      </w:r>
      <w:r w:rsidRPr="00895032">
        <w:rPr>
          <w:color w:val="000000"/>
          <w:sz w:val="24"/>
          <w:szCs w:val="24"/>
          <w:lang w:eastAsia="ru-RU"/>
        </w:rPr>
        <w:t xml:space="preserve">Слід зазначити, що показники експериментальної групи перевищили результати контрольної групи на 33,8 % </w:t>
      </w:r>
      <w:r w:rsidRPr="00895032">
        <w:rPr>
          <w:sz w:val="24"/>
          <w:szCs w:val="24"/>
        </w:rPr>
        <w:t>(</w:t>
      </w:r>
      <w:r w:rsidRPr="00895032">
        <w:rPr>
          <w:sz w:val="24"/>
          <w:szCs w:val="24"/>
          <w:lang w:val="en-US"/>
        </w:rPr>
        <w:t>t </w:t>
      </w:r>
      <w:r w:rsidRPr="00895032">
        <w:rPr>
          <w:sz w:val="24"/>
          <w:szCs w:val="24"/>
          <w:lang w:val="ru-RU"/>
        </w:rPr>
        <w:t>=</w:t>
      </w:r>
      <w:r w:rsidRPr="00895032">
        <w:rPr>
          <w:sz w:val="24"/>
          <w:szCs w:val="24"/>
          <w:lang w:val="en-US"/>
        </w:rPr>
        <w:t> </w:t>
      </w:r>
      <w:r w:rsidRPr="00895032">
        <w:rPr>
          <w:sz w:val="24"/>
          <w:szCs w:val="24"/>
        </w:rPr>
        <w:t>3</w:t>
      </w:r>
      <w:r w:rsidRPr="00895032">
        <w:rPr>
          <w:sz w:val="24"/>
          <w:szCs w:val="24"/>
          <w:lang w:val="ru-RU"/>
        </w:rPr>
        <w:t>,8</w:t>
      </w:r>
      <w:r w:rsidRPr="00895032">
        <w:rPr>
          <w:sz w:val="24"/>
          <w:szCs w:val="24"/>
        </w:rPr>
        <w:t>0</w:t>
      </w:r>
      <w:r w:rsidRPr="00895032">
        <w:rPr>
          <w:sz w:val="24"/>
          <w:szCs w:val="24"/>
          <w:lang w:val="ru-RU"/>
        </w:rPr>
        <w:t xml:space="preserve">; </w:t>
      </w:r>
      <w:r w:rsidRPr="00895032">
        <w:rPr>
          <w:sz w:val="24"/>
          <w:szCs w:val="24"/>
          <w:lang w:val="en-US"/>
        </w:rPr>
        <w:t>p </w:t>
      </w:r>
      <w:r w:rsidRPr="00895032">
        <w:rPr>
          <w:sz w:val="24"/>
          <w:szCs w:val="24"/>
          <w:lang w:eastAsia="uk-UA"/>
        </w:rPr>
        <w:t>&lt;0,0</w:t>
      </w:r>
      <w:r w:rsidRPr="00895032">
        <w:rPr>
          <w:sz w:val="24"/>
          <w:szCs w:val="24"/>
          <w:lang w:val="ru-RU"/>
        </w:rPr>
        <w:t>01)</w:t>
      </w:r>
      <w:r w:rsidRPr="00895032">
        <w:rPr>
          <w:color w:val="000000"/>
          <w:sz w:val="24"/>
          <w:szCs w:val="24"/>
          <w:lang w:eastAsia="ru-RU"/>
        </w:rPr>
        <w:t>.</w:t>
      </w:r>
    </w:p>
    <w:p w:rsidR="006206D2" w:rsidRPr="006206D2" w:rsidRDefault="006206D2" w:rsidP="006206D2">
      <w:pPr>
        <w:widowControl w:val="0"/>
        <w:shd w:val="clear" w:color="auto" w:fill="FFFFFF"/>
        <w:autoSpaceDE w:val="0"/>
        <w:autoSpaceDN w:val="0"/>
        <w:spacing w:after="0" w:line="240" w:lineRule="auto"/>
        <w:ind w:firstLine="708"/>
        <w:jc w:val="both"/>
        <w:rPr>
          <w:sz w:val="20"/>
          <w:szCs w:val="20"/>
        </w:rPr>
      </w:pPr>
      <w:r w:rsidRPr="00895032">
        <w:rPr>
          <w:sz w:val="24"/>
          <w:szCs w:val="24"/>
        </w:rPr>
        <w:t xml:space="preserve">Найбільш виражені зміни були зафіксовані у тесті на координацію рухів з ракеткою і воланом (рис. 1). </w:t>
      </w:r>
    </w:p>
    <w:p w:rsidR="006206D2" w:rsidRPr="006206D2" w:rsidRDefault="006206D2" w:rsidP="006206D2">
      <w:pPr>
        <w:widowControl w:val="0"/>
        <w:shd w:val="clear" w:color="auto" w:fill="FFFFFF"/>
        <w:autoSpaceDE w:val="0"/>
        <w:autoSpaceDN w:val="0"/>
        <w:spacing w:after="0" w:line="240" w:lineRule="auto"/>
        <w:ind w:firstLine="708"/>
        <w:jc w:val="both"/>
        <w:rPr>
          <w:sz w:val="20"/>
          <w:szCs w:val="20"/>
        </w:rPr>
      </w:pPr>
    </w:p>
    <w:p w:rsidR="006206D2" w:rsidRPr="006206D2" w:rsidRDefault="006206D2" w:rsidP="006206D2">
      <w:pPr>
        <w:widowControl w:val="0"/>
        <w:shd w:val="clear" w:color="auto" w:fill="FFFFFF"/>
        <w:autoSpaceDE w:val="0"/>
        <w:autoSpaceDN w:val="0"/>
        <w:spacing w:after="0" w:line="240" w:lineRule="auto"/>
        <w:jc w:val="center"/>
        <w:rPr>
          <w:sz w:val="20"/>
          <w:szCs w:val="20"/>
        </w:rPr>
      </w:pPr>
      <w:r w:rsidRPr="00895032">
        <w:rPr>
          <w:noProof/>
          <w:sz w:val="24"/>
          <w:szCs w:val="24"/>
          <w:lang w:eastAsia="uk-UA"/>
        </w:rPr>
        <w:drawing>
          <wp:inline distT="0" distB="0" distL="0" distR="0">
            <wp:extent cx="4949890" cy="2905125"/>
            <wp:effectExtent l="19050" t="0" r="311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88565" name="Рисунок 1130788565"/>
                    <pic:cNvPicPr/>
                  </pic:nvPicPr>
                  <pic:blipFill rotWithShape="1">
                    <a:blip r:embed="rId245" cstate="print">
                      <a:extLst>
                        <a:ext uri="{BEBA8EAE-BF5A-486C-A8C5-ECC9F3942E4B}">
                          <a14:imgProps xmlns:a14="http://schemas.microsoft.com/office/drawing/2010/main">
                            <a14:imgLayer r:embed="rId246">
                              <a14:imgEffect>
                                <a14:saturation sat="0"/>
                              </a14:imgEffect>
                            </a14:imgLayer>
                          </a14:imgProps>
                        </a:ext>
                        <a:ext uri="{28A0092B-C50C-407E-A947-70E740481C1C}">
                          <a14:useLocalDpi xmlns:a14="http://schemas.microsoft.com/office/drawing/2010/main" val="0"/>
                        </a:ext>
                      </a:extLst>
                    </a:blip>
                    <a:srcRect t="9728"/>
                    <a:stretch>
                      <a:fillRect/>
                    </a:stretch>
                  </pic:blipFill>
                  <pic:spPr bwMode="auto">
                    <a:xfrm>
                      <a:off x="0" y="0"/>
                      <a:ext cx="5026016" cy="2949804"/>
                    </a:xfrm>
                    <a:prstGeom prst="rect">
                      <a:avLst/>
                    </a:prstGeom>
                    <a:ln>
                      <a:noFill/>
                    </a:ln>
                    <a:extLst>
                      <a:ext uri="{53640926-AAD7-44D8-BBD7-CCE9431645EC}">
                        <a14:shadowObscured xmlns:a14="http://schemas.microsoft.com/office/drawing/2010/main"/>
                      </a:ext>
                    </a:extLst>
                  </pic:spPr>
                </pic:pic>
              </a:graphicData>
            </a:graphic>
          </wp:inline>
        </w:drawing>
      </w:r>
    </w:p>
    <w:p w:rsidR="006206D2" w:rsidRPr="00895032" w:rsidRDefault="006206D2" w:rsidP="006206D2">
      <w:pPr>
        <w:widowControl w:val="0"/>
        <w:autoSpaceDE w:val="0"/>
        <w:autoSpaceDN w:val="0"/>
        <w:spacing w:after="0" w:line="240" w:lineRule="auto"/>
        <w:ind w:firstLine="708"/>
        <w:jc w:val="both"/>
        <w:rPr>
          <w:iCs/>
          <w:sz w:val="24"/>
          <w:szCs w:val="24"/>
        </w:rPr>
      </w:pPr>
      <w:r w:rsidRPr="00895032">
        <w:rPr>
          <w:iCs/>
          <w:sz w:val="24"/>
          <w:szCs w:val="24"/>
        </w:rPr>
        <w:t>Рис. 1</w:t>
      </w:r>
      <w:r w:rsidRPr="00895032">
        <w:rPr>
          <w:iCs/>
          <w:sz w:val="24"/>
          <w:szCs w:val="24"/>
        </w:rPr>
        <w:tab/>
        <w:t>Динаміка показників координації рухів із ракеткою і воланом у контрольній та експериментальній групах</w:t>
      </w:r>
    </w:p>
    <w:p w:rsidR="003811B7" w:rsidRDefault="003811B7"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lastRenderedPageBreak/>
        <w:t>Отримані результати свідчать, що систематичне використання вправ із бадмінтону сприяло розвитку точності рухів, швидкості реагування та просторового орієнтування.</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Також виявлено позитивний вплив упроваджених організаційно-педагогічних умов на рівень мотивації учениць до занять фізичною культурою. Наприкінці експерименту кількість дівчаток, які виявляли стійкий інтерес до занять бадмінтоном, в експериментальній групі зросла з 27,6 % до 72,4 %, тоді як у контрольній групі суттєвих змін не спостерігалося.</w:t>
      </w:r>
      <w:r w:rsidRPr="00895032">
        <w:rPr>
          <w:color w:val="000000"/>
          <w:sz w:val="24"/>
          <w:szCs w:val="24"/>
          <w:lang w:eastAsia="ru-RU"/>
        </w:rPr>
        <w:t xml:space="preserve"> Аналіз результатів анкетування після завершення педагогічного експерименту засвідчив зростання інтересу учениць до занять фізичною культурою та бадмінтоном. Більшість дівчаток експериментальної групи відзначили, що заняття стали більш цікавими, емоційними та різноманітними. Частина учениць виявила бажання продовжувати заняття бадмінтоном у позаурочний час та брати участь у спортивних заходах і змаганнях.</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Отримані результати підтверджують високу ефективність застосованих засобів щодо розвитку координаційних здібностей у дітей із порушеннями слуху.</w:t>
      </w:r>
    </w:p>
    <w:p w:rsidR="006206D2" w:rsidRPr="00895032" w:rsidRDefault="006206D2" w:rsidP="006206D2">
      <w:pPr>
        <w:widowControl w:val="0"/>
        <w:shd w:val="clear" w:color="auto" w:fill="FFFFFF"/>
        <w:autoSpaceDE w:val="0"/>
        <w:autoSpaceDN w:val="0"/>
        <w:spacing w:after="0" w:line="240" w:lineRule="auto"/>
        <w:ind w:firstLine="708"/>
        <w:jc w:val="both"/>
        <w:rPr>
          <w:color w:val="000000"/>
          <w:sz w:val="24"/>
          <w:szCs w:val="24"/>
          <w:lang w:eastAsia="ru-RU"/>
        </w:rPr>
      </w:pPr>
      <w:r w:rsidRPr="00895032">
        <w:rPr>
          <w:color w:val="000000"/>
          <w:sz w:val="24"/>
          <w:szCs w:val="24"/>
          <w:lang w:eastAsia="ru-RU"/>
        </w:rPr>
        <w:t xml:space="preserve">Додатковий аналіз результатів дослідження засвідчив, що впровадження організаційно-педагогічних умов позитивно вплинуло не лише на показники рухової підготовленості, а й на загальну активність учениць під час уроків фізичної культури. У процесі педагогічного спостереження встановлено, що дівчатка експериментальної групи стали більш ініціативними у виконанні рухових завдань, активніше взаємодіяли між собою та проявляли вищий рівень емоційної залученості до навчальної діяльності. На відміну від контрольної групи, учениці ЕГ частіше виявляли бажання виконувати додаткові вправи з ракеткою і воланом, брати участь у рухливих іграх та елементах змагальної діяльності. </w:t>
      </w:r>
      <w:r w:rsidRPr="00895032">
        <w:rPr>
          <w:sz w:val="24"/>
          <w:szCs w:val="24"/>
        </w:rPr>
        <w:t>У процесі дослідження випадків відмови від участі або вибуття учасниць із педагогічного експерименту не зафіксовано. Отримані результати підтверджують ефективність запропонованих організаційно-педагогічних умов удосконалення</w:t>
      </w:r>
      <w:r w:rsidRPr="00895032">
        <w:rPr>
          <w:color w:val="000000"/>
          <w:sz w:val="24"/>
          <w:szCs w:val="24"/>
          <w:lang w:eastAsia="ru-RU"/>
        </w:rPr>
        <w:t xml:space="preserve"> рухових здібностей дівчаток 11–12 років з порушеннями слуху засобами бадмінтону.</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b/>
          <w:bCs/>
          <w:sz w:val="24"/>
          <w:szCs w:val="24"/>
        </w:rPr>
        <w:t>Дискусія</w:t>
      </w:r>
      <w:r w:rsidRPr="00895032">
        <w:rPr>
          <w:sz w:val="24"/>
          <w:szCs w:val="24"/>
        </w:rPr>
        <w:t>. Результати проведеного дослідження підтвердили ефективність упровадження організаційно-педагогічних умов удосконалення рухових здібностей дівчаток 11–12 років з порушеннями слуху на уроках фізичної культури засобами бадмінтону. Отримані дані засвідчили, що систематичне використання адаптованих вправ із бадмінтону позитивно впливає на розвиток швидкості, спритності, координаційних здібностей, рівноваги та гнучкості школярок. Особливо важливим є те, що найбільш виражені зміни були зафіксовані саме у показниках координації рухів і рівноваги, розвиток яких традиційно вважається однією з найбільш проблемних сфер фізичної підготовленості дітей із порушеннями слуху.</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Отримані результати підтверджують положення сучасних досліджень про те, що порушення слухового аналізатора негативно впливає на функціонування вестибулярного апарату, координацію рухів та просторове орієнтування дітей [3</w:t>
      </w:r>
      <w:r w:rsidRPr="00895032">
        <w:rPr>
          <w:sz w:val="24"/>
          <w:szCs w:val="24"/>
          <w:lang w:val="ru-RU"/>
        </w:rPr>
        <w:t>,</w:t>
      </w:r>
      <w:r w:rsidRPr="00895032">
        <w:rPr>
          <w:sz w:val="24"/>
          <w:szCs w:val="24"/>
        </w:rPr>
        <w:t>5</w:t>
      </w:r>
      <w:r w:rsidRPr="00895032">
        <w:rPr>
          <w:sz w:val="24"/>
          <w:szCs w:val="24"/>
          <w:lang w:val="ru-RU"/>
        </w:rPr>
        <w:t>,</w:t>
      </w:r>
      <w:r w:rsidRPr="00895032">
        <w:rPr>
          <w:sz w:val="24"/>
          <w:szCs w:val="24"/>
        </w:rPr>
        <w:t>11]. Саме тому пошук ефективних засобів розвитку координаційних здібностей у дітей з порушеннями слуху є одним із пріоритетних напрямів адаптивної фізичної культури. У проведеному дослідженні встановлено, що використання бадмінтону як засобу фізичної підготовки дозволяє компенсувати окремі прояви порушення сенсомоторної координації за рахунок постійного поєднання зорового контролю, швидкого реагування на зміну траєкторії волана та необхідності виконання точних рухових дій у змінних умовах.</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 xml:space="preserve">Отримані результати узгоджуються з висновками вітчизняних дослідників, які наголошують на ефективності спортивно-ігрових засобів у фізичному вихованні дітей із особливими освітніми потребами [2,7,9]. Зокрема, у роботах В. Стеріна та співавторів доведено позитивний вплив бадмінтону на розвиток координаційних здібностей </w:t>
      </w:r>
      <w:r w:rsidRPr="00895032">
        <w:rPr>
          <w:sz w:val="24"/>
          <w:szCs w:val="24"/>
        </w:rPr>
        <w:lastRenderedPageBreak/>
        <w:t>спортсменів із порушеннями слуху [7]. Результати нашого дослідження розширюють ці наукові положення, оскільки підтверджують ефективність використання засобів бадмінтону не лише у спортивній підготовці, а й безпосередньо у процесі уроків фізичної культури в закладах загальної середньої освіти.</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Позитивні зміни показників рівноваги та просторового орієнтування також узгоджуються з результатами зарубіжних досліджень A. Turner та співавторів [10,13], у яких встановлено, що адаптовані спортивні ігри сприяють покращенню постурального контролю та координаційних здібностей дітей із різними порушеннями розвитку. У нашому дослідженні подібний ефект, ймовірно, був пов’язаний із систематичним використанням вправ, що вимагали утримання стійкого положення тіла, швидкої зміни напрямку руху та точного контролю рухових дій під час роботи з ракеткою і воланом.</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Важливим аспектом проведеного дослідження стало встановлення позитивного впливу запропонованих організаційно-педагогічних умов на мотиваційну сферу школярок. Після завершення експерименту в експериментальній групі суттєво збільшилася кількість учениць, які виявляли інтерес до занять бадмінтоном та активно брали участь у руховій діяльності. Це підтверджує результати попередніх досліджень авторів [8], у яких було встановлено, що діти з порушеннями слуху проявляють значний інтерес до рухливих ігор та спортивно-ігрової діяльності. Водночас результати нашого дослідження свідчать, що реалізація цього інтересу значною мірою залежить від правильно організованих педагогічних умов, адаптації змісту занять та використання доступних методів навчання.</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Разом із тим проведене дослідження має певні обмеження. По-перше, експеримент проводився лише серед дівчаток 11–12 років з порушеннями слуху, що обмежує можливість поширення результатів на інші вікові та статеві категорії. По-друге, тривалість педагогічного експерименту становила шість місяців, що не дозволяє оцінити довготривалий вплив запропонованих організаційно-педагогічних умов на фізичний розвиток та функціональний стан дітей. Крім того, у дослідженні не аналізувалися показники психоемоційного стану та соціальної адаптації учениць, хоча під час педагогічного спостереження були зафіксовані позитивні зміни у комунікативній активності та впевненості досліджуваного контингенту.</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b/>
          <w:bCs/>
          <w:sz w:val="24"/>
          <w:szCs w:val="24"/>
        </w:rPr>
        <w:t>Висновки з обґрунтуванням подальшого пошуку в цьому напрямі.</w:t>
      </w:r>
      <w:r w:rsidRPr="00895032">
        <w:rPr>
          <w:sz w:val="24"/>
          <w:szCs w:val="24"/>
        </w:rPr>
        <w:t xml:space="preserve"> Результати проведеного дослідження підтвердили ефективність організаційно-педагогічних умов удосконалення рухових здібностей дівчаток 11–12 років з порушеннями слуху на уроках фізичної культури засобами бадмінтону. Встановлено, що комплексне поєднання адаптації навчального матеріалу, використання візуальних методів навчання, поетапного оволодіння технічними елементами бадмінтону, індивідуалізації фізичних навантажень та застосування ігрових і змагальних методів створює сприятливі умови для підвищення рівня рухової підготовленості дітей із порушеннями слуху.</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sz w:val="24"/>
          <w:szCs w:val="24"/>
        </w:rPr>
        <w:t>Доведено, що використання засобів бадмінтону в системі фізичного виховання сприяє розвитку координаційних здібностей, швидкості, спритності, рівноваги та гнучкості, а також позитивно впливає на мотивацію школярок до занять фізичною культурою та їхню рухову активність. Отримані результати підтверджують доцільність використання бадмінтону як ефективного засобу адаптивної фізичної підготовки у спеціальних та інклюзивних закладах загальної середньої освіти.</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b/>
          <w:sz w:val="24"/>
          <w:szCs w:val="24"/>
        </w:rPr>
        <w:t>Перспективи подальших наукових пошуків</w:t>
      </w:r>
      <w:r w:rsidRPr="00895032">
        <w:rPr>
          <w:sz w:val="24"/>
          <w:szCs w:val="24"/>
        </w:rPr>
        <w:t xml:space="preserve"> пов’язані з вивченням впливу занять бадмінтоном на психоемоційний стан, соціалізацію та комунікативні здібності дітей із порушеннями слуху, а також із розробленням диференційованих програм адаптивного фізичного виховання для дітей різного віку, статі та рівня слухових порушень.</w:t>
      </w:r>
    </w:p>
    <w:p w:rsidR="006206D2" w:rsidRPr="00895032" w:rsidRDefault="006206D2" w:rsidP="006206D2">
      <w:pPr>
        <w:widowControl w:val="0"/>
        <w:shd w:val="clear" w:color="auto" w:fill="FFFFFF"/>
        <w:autoSpaceDE w:val="0"/>
        <w:autoSpaceDN w:val="0"/>
        <w:spacing w:after="0" w:line="240" w:lineRule="auto"/>
        <w:ind w:firstLine="708"/>
        <w:jc w:val="both"/>
        <w:rPr>
          <w:sz w:val="24"/>
          <w:szCs w:val="24"/>
        </w:rPr>
      </w:pPr>
      <w:r w:rsidRPr="00895032">
        <w:rPr>
          <w:b/>
          <w:bCs/>
          <w:sz w:val="24"/>
          <w:szCs w:val="24"/>
        </w:rPr>
        <w:t>Конфлікт інтересів.</w:t>
      </w:r>
      <w:r w:rsidRPr="00895032">
        <w:rPr>
          <w:sz w:val="24"/>
          <w:szCs w:val="24"/>
        </w:rPr>
        <w:t xml:space="preserve"> Автори заявляють, що не існує ніякого конфлікту інтересів.</w:t>
      </w:r>
    </w:p>
    <w:p w:rsidR="006206D2" w:rsidRPr="003811B7" w:rsidRDefault="003811B7" w:rsidP="006206D2">
      <w:pPr>
        <w:shd w:val="clear" w:color="auto" w:fill="FFFFFF"/>
        <w:spacing w:after="0" w:line="240" w:lineRule="auto"/>
        <w:ind w:firstLine="709"/>
        <w:jc w:val="center"/>
        <w:rPr>
          <w:b/>
          <w:sz w:val="20"/>
          <w:szCs w:val="24"/>
          <w:lang w:val="en-US" w:eastAsia="uk-UA"/>
        </w:rPr>
      </w:pPr>
      <w:r>
        <w:rPr>
          <w:b/>
          <w:sz w:val="20"/>
          <w:szCs w:val="24"/>
          <w:lang w:eastAsia="uk-UA"/>
        </w:rPr>
        <w:lastRenderedPageBreak/>
        <w:t>Список використаних джерел</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Волошко ЛБ, Сікаленко А. Бадмінтон як засіб фізичного виховання дітей молодшого шкільного віку з вадами слуху. В: Фізична реабілітація та здоров’язбережувальні технології: реалії і перспективи: матеріали ІІ Всеукраїнська наук.-практ. інтернет-конференція. Полтава: ПолтНТУ; 2016. С.</w:t>
      </w:r>
      <w:r w:rsidRPr="00895032">
        <w:rPr>
          <w:sz w:val="20"/>
          <w:szCs w:val="20"/>
          <w:lang w:val="en-US" w:eastAsia="uk-UA"/>
        </w:rPr>
        <w:t> </w:t>
      </w:r>
      <w:r w:rsidRPr="00895032">
        <w:rPr>
          <w:sz w:val="20"/>
          <w:szCs w:val="20"/>
          <w:lang w:eastAsia="uk-UA"/>
        </w:rPr>
        <w:t>182</w:t>
      </w:r>
      <w:r w:rsidRPr="00895032">
        <w:rPr>
          <w:sz w:val="20"/>
          <w:szCs w:val="20"/>
          <w:lang w:val="ru-RU" w:eastAsia="uk-UA"/>
        </w:rPr>
        <w:t>-</w:t>
      </w:r>
      <w:r w:rsidRPr="00895032">
        <w:rPr>
          <w:sz w:val="20"/>
          <w:szCs w:val="20"/>
          <w:lang w:eastAsia="uk-UA"/>
        </w:rPr>
        <w:t xml:space="preserve">4. </w:t>
      </w:r>
      <w:hyperlink r:id="rId247" w:history="1">
        <w:r w:rsidRPr="00895032">
          <w:rPr>
            <w:color w:val="0563C1" w:themeColor="hyperlink"/>
            <w:sz w:val="20"/>
            <w:szCs w:val="20"/>
            <w:u w:val="single"/>
            <w:lang w:eastAsia="uk-UA"/>
          </w:rPr>
          <w:t>https://reposit.nupp.edu.ua/handle/PoltNTU/1830</w:t>
        </w:r>
      </w:hyperlink>
      <w:r w:rsidRPr="00895032">
        <w:rPr>
          <w:sz w:val="20"/>
          <w:szCs w:val="20"/>
          <w:lang w:val="ru-RU" w:eastAsia="uk-UA"/>
        </w:rPr>
        <w:t>.</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Доцюк ЛГ, Гауряк ОД. Використання адаптивної фізичної культури для корекції фізичного розвитку школярів з порушенням слуху. Молодий вчений. 2020</w:t>
      </w:r>
      <w:r w:rsidRPr="00895032">
        <w:rPr>
          <w:sz w:val="20"/>
          <w:szCs w:val="20"/>
          <w:lang w:val="en-US" w:eastAsia="uk-UA"/>
        </w:rPr>
        <w:t xml:space="preserve">; </w:t>
      </w:r>
      <w:r w:rsidRPr="00895032">
        <w:rPr>
          <w:sz w:val="20"/>
          <w:szCs w:val="20"/>
          <w:lang w:eastAsia="uk-UA"/>
        </w:rPr>
        <w:t>2(78)</w:t>
      </w:r>
      <w:r w:rsidRPr="00895032">
        <w:rPr>
          <w:sz w:val="20"/>
          <w:szCs w:val="20"/>
          <w:lang w:val="en-US" w:eastAsia="uk-UA"/>
        </w:rPr>
        <w:t>:</w:t>
      </w:r>
      <w:r w:rsidRPr="00895032">
        <w:rPr>
          <w:sz w:val="20"/>
          <w:szCs w:val="20"/>
          <w:lang w:eastAsia="uk-UA"/>
        </w:rPr>
        <w:t>312</w:t>
      </w:r>
      <w:r w:rsidRPr="00895032">
        <w:rPr>
          <w:sz w:val="20"/>
          <w:szCs w:val="20"/>
          <w:lang w:val="en-US" w:eastAsia="uk-UA"/>
        </w:rPr>
        <w:t>-</w:t>
      </w:r>
      <w:r w:rsidRPr="00895032">
        <w:rPr>
          <w:sz w:val="20"/>
          <w:szCs w:val="20"/>
          <w:lang w:eastAsia="uk-UA"/>
        </w:rPr>
        <w:t xml:space="preserve">16. </w:t>
      </w:r>
      <w:hyperlink r:id="rId248" w:history="1">
        <w:r w:rsidRPr="00895032">
          <w:rPr>
            <w:color w:val="0563C1" w:themeColor="hyperlink"/>
            <w:sz w:val="20"/>
            <w:szCs w:val="20"/>
            <w:u w:val="single"/>
            <w:lang w:eastAsia="uk-UA"/>
          </w:rPr>
          <w:t>http://molodyvcheny.in.ua/files/journal/2017/3.1/34.pdf</w:t>
        </w:r>
      </w:hyperlink>
      <w:r w:rsidRPr="00895032">
        <w:rPr>
          <w:sz w:val="20"/>
          <w:szCs w:val="20"/>
          <w:lang w:eastAsia="uk-UA"/>
        </w:rPr>
        <w:t xml:space="preserve"> </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Закамалдін В. Структура та основні напрямки фізичної реабілітації дітей з порушенням слуху з використанням оздоровчих засобів бадмінтону: дип. проєкт магістра : 227 «Фізична терапія, ерготерапія». ЧНУ ім. Петра Могили</w:t>
      </w:r>
      <w:r w:rsidRPr="00895032">
        <w:rPr>
          <w:sz w:val="20"/>
          <w:szCs w:val="20"/>
          <w:lang w:val="ru-RU" w:eastAsia="uk-UA"/>
        </w:rPr>
        <w:t>;</w:t>
      </w:r>
      <w:r w:rsidRPr="00895032">
        <w:rPr>
          <w:sz w:val="20"/>
          <w:szCs w:val="20"/>
          <w:lang w:eastAsia="uk-UA"/>
        </w:rPr>
        <w:t xml:space="preserve"> 2020. 62 с. </w:t>
      </w:r>
      <w:hyperlink r:id="rId249" w:history="1">
        <w:r w:rsidRPr="00895032">
          <w:rPr>
            <w:color w:val="0563C1" w:themeColor="hyperlink"/>
            <w:sz w:val="20"/>
            <w:szCs w:val="20"/>
            <w:u w:val="single"/>
            <w:lang w:eastAsia="uk-UA"/>
          </w:rPr>
          <w:t>https://krs.chmnu.edu.ua/jspui/handle/123456789/1077</w:t>
        </w:r>
      </w:hyperlink>
      <w:r w:rsidRPr="00895032">
        <w:rPr>
          <w:sz w:val="20"/>
          <w:szCs w:val="20"/>
          <w:lang w:val="ru-RU" w:eastAsia="uk-UA"/>
        </w:rPr>
        <w:t>.</w:t>
      </w:r>
      <w:r w:rsidRPr="00895032">
        <w:rPr>
          <w:sz w:val="20"/>
          <w:szCs w:val="20"/>
          <w:lang w:eastAsia="uk-UA"/>
        </w:rPr>
        <w:t xml:space="preserve"> </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Мішин МВ, Петренко ІВ, Кийко АС. Оптимізація процесу фізичної підготовки 10-11-річних спортсменів з вадами слуху, які займаються Джиу-джитсу. Слобожанський науково-спортивний вісник. 2020</w:t>
      </w:r>
      <w:r w:rsidRPr="00895032">
        <w:rPr>
          <w:sz w:val="20"/>
          <w:szCs w:val="20"/>
          <w:lang w:val="en-US" w:eastAsia="uk-UA"/>
        </w:rPr>
        <w:t>;</w:t>
      </w:r>
      <w:r w:rsidRPr="00895032">
        <w:rPr>
          <w:sz w:val="20"/>
          <w:szCs w:val="20"/>
          <w:lang w:eastAsia="uk-UA"/>
        </w:rPr>
        <w:t xml:space="preserve"> 4(78)</w:t>
      </w:r>
      <w:r w:rsidRPr="00895032">
        <w:rPr>
          <w:sz w:val="20"/>
          <w:szCs w:val="20"/>
          <w:lang w:val="en-US" w:eastAsia="uk-UA"/>
        </w:rPr>
        <w:t>:</w:t>
      </w:r>
      <w:r w:rsidRPr="00895032">
        <w:rPr>
          <w:sz w:val="20"/>
          <w:szCs w:val="20"/>
          <w:lang w:eastAsia="uk-UA"/>
        </w:rPr>
        <w:t xml:space="preserve">17-23. </w:t>
      </w:r>
      <w:hyperlink r:id="rId250" w:history="1">
        <w:r w:rsidRPr="00895032">
          <w:rPr>
            <w:color w:val="0563C1" w:themeColor="hyperlink"/>
            <w:sz w:val="20"/>
            <w:szCs w:val="20"/>
            <w:u w:val="single"/>
            <w:lang w:eastAsia="uk-UA"/>
          </w:rPr>
          <w:t>https://doi.org/10.15391/snsv.2020-4.003</w:t>
        </w:r>
      </w:hyperlink>
      <w:r w:rsidRPr="00895032">
        <w:rPr>
          <w:sz w:val="20"/>
          <w:szCs w:val="20"/>
          <w:lang w:eastAsia="uk-UA"/>
        </w:rPr>
        <w:t>.</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Собко І, Стерін В, Собко Я, Стерін М, Любієва В. Засоби адаптивного спорту для розвитку фізичних здібностей спортсменів (на прикладі бадмінтоністів з вадами слуху). Науковий часопис Українського державного університету імені Михайла Драгоманова. Серія 15. 2025</w:t>
      </w:r>
      <w:r w:rsidRPr="00895032">
        <w:rPr>
          <w:sz w:val="20"/>
          <w:szCs w:val="20"/>
          <w:lang w:val="ru-RU" w:eastAsia="uk-UA"/>
        </w:rPr>
        <w:t>;</w:t>
      </w:r>
      <w:r w:rsidRPr="00895032">
        <w:rPr>
          <w:sz w:val="20"/>
          <w:szCs w:val="20"/>
          <w:lang w:eastAsia="uk-UA"/>
        </w:rPr>
        <w:t xml:space="preserve"> 5(192)</w:t>
      </w:r>
      <w:r w:rsidRPr="00895032">
        <w:rPr>
          <w:sz w:val="20"/>
          <w:szCs w:val="20"/>
          <w:lang w:val="ru-RU" w:eastAsia="uk-UA"/>
        </w:rPr>
        <w:t>:</w:t>
      </w:r>
      <w:r w:rsidRPr="00895032">
        <w:rPr>
          <w:sz w:val="20"/>
          <w:szCs w:val="20"/>
          <w:lang w:eastAsia="uk-UA"/>
        </w:rPr>
        <w:t xml:space="preserve">154-60. </w:t>
      </w:r>
      <w:hyperlink r:id="rId251" w:history="1">
        <w:r w:rsidRPr="00895032">
          <w:rPr>
            <w:color w:val="0563C1" w:themeColor="hyperlink"/>
            <w:sz w:val="20"/>
            <w:szCs w:val="20"/>
            <w:u w:val="single"/>
            <w:lang w:eastAsia="uk-UA"/>
          </w:rPr>
          <w:t>https://doi.org/10.31392/UDU-nc.series15.2025.05(192).34</w:t>
        </w:r>
      </w:hyperlink>
      <w:r w:rsidRPr="00895032">
        <w:rPr>
          <w:sz w:val="20"/>
          <w:szCs w:val="20"/>
          <w:lang w:val="ru-RU" w:eastAsia="uk-UA"/>
        </w:rPr>
        <w:t>.</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 xml:space="preserve">Почтарьов АС, Юрчишин ЮВ. Структура та особливості інтересу дітей із вадами слуху до рухової активності у різних формах. Вісник Кам’янець-Подільського національного університету імені Івана Огієнка. Фізичне виховання, спорт і здоров’я людини. 2025; 30(4):270-77. </w:t>
      </w:r>
      <w:hyperlink r:id="rId252" w:history="1">
        <w:r w:rsidRPr="00895032">
          <w:rPr>
            <w:color w:val="0563C1" w:themeColor="hyperlink"/>
            <w:sz w:val="20"/>
            <w:szCs w:val="20"/>
            <w:u w:val="single"/>
            <w:lang w:eastAsia="uk-UA"/>
          </w:rPr>
          <w:t>https://doi.org/10.32626/2309-8082.2025-30(4).270-277</w:t>
        </w:r>
      </w:hyperlink>
      <w:r w:rsidRPr="00895032">
        <w:rPr>
          <w:sz w:val="20"/>
          <w:szCs w:val="20"/>
          <w:lang w:eastAsia="uk-UA"/>
        </w:rPr>
        <w:t xml:space="preserve">. </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Стеблюк СВ, Пишка ОП. Гра як метод навчання в інклюзивному освітньому середовищі. Інноваційна педагогіка. 2022</w:t>
      </w:r>
      <w:r w:rsidRPr="00895032">
        <w:rPr>
          <w:sz w:val="20"/>
          <w:szCs w:val="20"/>
          <w:lang w:val="en-US" w:eastAsia="uk-UA"/>
        </w:rPr>
        <w:t>;</w:t>
      </w:r>
      <w:r w:rsidRPr="00895032">
        <w:rPr>
          <w:sz w:val="20"/>
          <w:szCs w:val="20"/>
          <w:lang w:eastAsia="uk-UA"/>
        </w:rPr>
        <w:t> 43(2)</w:t>
      </w:r>
      <w:r w:rsidRPr="00895032">
        <w:rPr>
          <w:sz w:val="20"/>
          <w:szCs w:val="20"/>
          <w:lang w:val="en-US" w:eastAsia="uk-UA"/>
        </w:rPr>
        <w:t>:</w:t>
      </w:r>
      <w:r w:rsidRPr="00895032">
        <w:rPr>
          <w:sz w:val="20"/>
          <w:szCs w:val="20"/>
          <w:lang w:eastAsia="uk-UA"/>
        </w:rPr>
        <w:t>43</w:t>
      </w:r>
      <w:r w:rsidRPr="00895032">
        <w:rPr>
          <w:sz w:val="20"/>
          <w:szCs w:val="20"/>
          <w:lang w:val="en-US" w:eastAsia="uk-UA"/>
        </w:rPr>
        <w:t>-</w:t>
      </w:r>
      <w:r w:rsidRPr="00895032">
        <w:rPr>
          <w:sz w:val="20"/>
          <w:szCs w:val="20"/>
          <w:lang w:eastAsia="uk-UA"/>
        </w:rPr>
        <w:t xml:space="preserve">7. </w:t>
      </w:r>
      <w:hyperlink r:id="rId253" w:history="1">
        <w:r w:rsidRPr="00895032">
          <w:rPr>
            <w:color w:val="0563C1" w:themeColor="hyperlink"/>
            <w:sz w:val="20"/>
            <w:szCs w:val="20"/>
            <w:u w:val="single"/>
            <w:lang w:eastAsia="uk-UA"/>
          </w:rPr>
          <w:t>https://doi.org/10.32843/2663-6085/2022/43/2.8</w:t>
        </w:r>
      </w:hyperlink>
      <w:r w:rsidRPr="00895032">
        <w:rPr>
          <w:sz w:val="20"/>
          <w:szCs w:val="20"/>
          <w:lang w:val="en-US" w:eastAsia="uk-UA"/>
        </w:rPr>
        <w:t>.</w:t>
      </w:r>
      <w:r w:rsidRPr="00895032">
        <w:rPr>
          <w:sz w:val="20"/>
          <w:szCs w:val="20"/>
          <w:lang w:eastAsia="uk-UA"/>
        </w:rPr>
        <w:t xml:space="preserve"> </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Почтарьов АС, Юрчишин ЮВ. Модель реалізації організаційно-педагогічних умов удосконалення рухових здібностей дітей з вадами слуху на уроках фізичної культури засобами бадмінтону. Інноваційна педагогіка. 2026</w:t>
      </w:r>
      <w:r w:rsidRPr="00895032">
        <w:rPr>
          <w:sz w:val="20"/>
          <w:szCs w:val="20"/>
          <w:lang w:val="en-US" w:eastAsia="uk-UA"/>
        </w:rPr>
        <w:t>;</w:t>
      </w:r>
      <w:r w:rsidRPr="00895032">
        <w:rPr>
          <w:sz w:val="20"/>
          <w:szCs w:val="20"/>
          <w:lang w:eastAsia="uk-UA"/>
        </w:rPr>
        <w:t>95(2)</w:t>
      </w:r>
      <w:r w:rsidRPr="00895032">
        <w:rPr>
          <w:sz w:val="20"/>
          <w:szCs w:val="20"/>
          <w:lang w:val="en-US" w:eastAsia="uk-UA"/>
        </w:rPr>
        <w:t>:</w:t>
      </w:r>
      <w:r w:rsidRPr="00895032">
        <w:rPr>
          <w:sz w:val="20"/>
          <w:szCs w:val="20"/>
          <w:lang w:eastAsia="uk-UA"/>
        </w:rPr>
        <w:t>70</w:t>
      </w:r>
      <w:r w:rsidRPr="00895032">
        <w:rPr>
          <w:sz w:val="20"/>
          <w:szCs w:val="20"/>
          <w:lang w:val="en-US" w:eastAsia="uk-UA"/>
        </w:rPr>
        <w:t>-</w:t>
      </w:r>
      <w:r w:rsidRPr="00895032">
        <w:rPr>
          <w:sz w:val="20"/>
          <w:szCs w:val="20"/>
          <w:lang w:eastAsia="uk-UA"/>
        </w:rPr>
        <w:t>5.</w:t>
      </w:r>
      <w:r w:rsidRPr="00895032">
        <w:rPr>
          <w:sz w:val="20"/>
          <w:szCs w:val="20"/>
          <w:lang w:val="en-US" w:eastAsia="uk-UA"/>
        </w:rPr>
        <w:t xml:space="preserve"> </w:t>
      </w:r>
      <w:hyperlink r:id="rId254" w:history="1">
        <w:r w:rsidRPr="00895032">
          <w:rPr>
            <w:color w:val="0563C1" w:themeColor="hyperlink"/>
            <w:sz w:val="20"/>
            <w:szCs w:val="20"/>
            <w:u w:val="single"/>
            <w:lang w:eastAsia="uk-UA"/>
          </w:rPr>
          <w:t>https://doi.org/10.32782/ip/95.2.11</w:t>
        </w:r>
      </w:hyperlink>
      <w:r w:rsidRPr="00895032">
        <w:rPr>
          <w:sz w:val="20"/>
          <w:szCs w:val="20"/>
          <w:lang w:val="en-US" w:eastAsia="uk-UA"/>
        </w:rPr>
        <w:t>.</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 xml:space="preserve">Бібік НМ. Нова українська школа: порадник для вчителя. Київ: ТОВ «Видавничий дім “Плеяди”»; 2019. 206 с. </w:t>
      </w:r>
      <w:hyperlink r:id="rId255" w:history="1">
        <w:r w:rsidRPr="00895032">
          <w:rPr>
            <w:color w:val="0563C1" w:themeColor="hyperlink"/>
            <w:sz w:val="20"/>
            <w:szCs w:val="20"/>
            <w:u w:val="single"/>
            <w:lang w:eastAsia="uk-UA"/>
          </w:rPr>
          <w:t>https://nus.org.ua/wp-content/uploads/2017/11/NUSH-poradnyk-dlya-vchytelya.pdf</w:t>
        </w:r>
      </w:hyperlink>
      <w:r w:rsidRPr="00895032">
        <w:rPr>
          <w:sz w:val="20"/>
          <w:szCs w:val="20"/>
          <w:lang w:eastAsia="uk-UA"/>
        </w:rPr>
        <w:t>.</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Стерін В, Собко Я, Стерін М, Рева В. Спортивні ігри як засіб вдосконалення координаційних здібностей бадмінтоністів із вадами слуху. Physical Culture and Sport: Scientific Perspective. 2024</w:t>
      </w:r>
      <w:r w:rsidRPr="00895032">
        <w:rPr>
          <w:sz w:val="20"/>
          <w:szCs w:val="20"/>
          <w:lang w:val="en-US" w:eastAsia="uk-UA"/>
        </w:rPr>
        <w:t>;</w:t>
      </w:r>
      <w:r w:rsidRPr="00895032">
        <w:rPr>
          <w:sz w:val="20"/>
          <w:szCs w:val="20"/>
          <w:lang w:eastAsia="uk-UA"/>
        </w:rPr>
        <w:t xml:space="preserve"> 4</w:t>
      </w:r>
      <w:r w:rsidRPr="00895032">
        <w:rPr>
          <w:sz w:val="20"/>
          <w:szCs w:val="20"/>
          <w:lang w:val="en-US" w:eastAsia="uk-UA"/>
        </w:rPr>
        <w:t>:</w:t>
      </w:r>
      <w:r w:rsidRPr="00895032">
        <w:rPr>
          <w:sz w:val="20"/>
          <w:szCs w:val="20"/>
          <w:lang w:eastAsia="uk-UA"/>
        </w:rPr>
        <w:t xml:space="preserve"> 195-201. </w:t>
      </w:r>
      <w:hyperlink r:id="rId256" w:history="1">
        <w:r w:rsidRPr="00895032">
          <w:rPr>
            <w:color w:val="0563C1" w:themeColor="hyperlink"/>
            <w:sz w:val="20"/>
            <w:szCs w:val="20"/>
            <w:u w:val="single"/>
            <w:lang w:eastAsia="uk-UA"/>
          </w:rPr>
          <w:t>https://doi.org/10.31891/pcs.2024.4.27</w:t>
        </w:r>
      </w:hyperlink>
      <w:r w:rsidRPr="00895032">
        <w:rPr>
          <w:sz w:val="20"/>
          <w:szCs w:val="20"/>
          <w:lang w:val="en-US" w:eastAsia="uk-UA"/>
        </w:rPr>
        <w:t>.</w:t>
      </w:r>
      <w:r w:rsidRPr="00895032">
        <w:rPr>
          <w:sz w:val="20"/>
          <w:szCs w:val="20"/>
          <w:lang w:eastAsia="uk-UA"/>
        </w:rPr>
        <w:t xml:space="preserve"> </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Göktaş A, Üstündağ A</w:t>
      </w:r>
      <w:r w:rsidRPr="00895032">
        <w:rPr>
          <w:sz w:val="20"/>
          <w:szCs w:val="20"/>
          <w:lang w:val="en-US" w:eastAsia="uk-UA"/>
        </w:rPr>
        <w:t>,</w:t>
      </w:r>
      <w:r w:rsidRPr="00895032">
        <w:rPr>
          <w:sz w:val="20"/>
          <w:szCs w:val="20"/>
          <w:lang w:eastAsia="uk-UA"/>
        </w:rPr>
        <w:t xml:space="preserve"> Şahin AZ. Activity participation on executive functions and well-being of hearing impaired children. BMC Public Health. 2025</w:t>
      </w:r>
      <w:r w:rsidRPr="00895032">
        <w:rPr>
          <w:sz w:val="20"/>
          <w:szCs w:val="20"/>
          <w:lang w:val="en-US" w:eastAsia="uk-UA"/>
        </w:rPr>
        <w:t>;</w:t>
      </w:r>
      <w:r w:rsidRPr="00895032">
        <w:rPr>
          <w:sz w:val="20"/>
          <w:szCs w:val="20"/>
          <w:lang w:eastAsia="uk-UA"/>
        </w:rPr>
        <w:t xml:space="preserve">1215. </w:t>
      </w:r>
      <w:hyperlink r:id="rId257" w:history="1">
        <w:r w:rsidRPr="00895032">
          <w:rPr>
            <w:color w:val="0563C1" w:themeColor="hyperlink"/>
            <w:sz w:val="20"/>
            <w:szCs w:val="20"/>
            <w:u w:val="single"/>
            <w:lang w:eastAsia="uk-UA"/>
          </w:rPr>
          <w:t>https://doi.org/10.1186/s12889-025-22146-z</w:t>
        </w:r>
      </w:hyperlink>
      <w:r w:rsidRPr="00895032">
        <w:rPr>
          <w:sz w:val="20"/>
          <w:szCs w:val="20"/>
          <w:lang w:val="en-US" w:eastAsia="uk-UA"/>
        </w:rPr>
        <w:t>.</w:t>
      </w:r>
      <w:r w:rsidRPr="00895032">
        <w:rPr>
          <w:sz w:val="20"/>
          <w:szCs w:val="20"/>
          <w:lang w:eastAsia="uk-UA"/>
        </w:rPr>
        <w:t xml:space="preserve"> </w:t>
      </w:r>
      <w:r w:rsidRPr="00895032">
        <w:rPr>
          <w:sz w:val="20"/>
          <w:szCs w:val="20"/>
          <w:lang w:val="en-US" w:eastAsia="uk-UA"/>
        </w:rPr>
        <w:t xml:space="preserve"> </w:t>
      </w:r>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Sepdanius E, Kurniawan I, Sidi M. Adli Bin Mohd, Pranoto NW, Fahmil H, Saputra E, Orhan BE. Enhancing Badminton Learning for Deaf Children: Development and Evaluation of an Interactive Video Teaching Module. Retos: nuevas tendencias en educación física, deportes y recreación. 2024</w:t>
      </w:r>
      <w:r w:rsidRPr="00895032">
        <w:rPr>
          <w:sz w:val="20"/>
          <w:szCs w:val="20"/>
          <w:lang w:val="en-US" w:eastAsia="uk-UA"/>
        </w:rPr>
        <w:t>;</w:t>
      </w:r>
      <w:r w:rsidRPr="00895032">
        <w:rPr>
          <w:sz w:val="20"/>
          <w:szCs w:val="20"/>
          <w:lang w:eastAsia="uk-UA"/>
        </w:rPr>
        <w:t xml:space="preserve"> Retos, 54</w:t>
      </w:r>
      <w:r w:rsidRPr="00895032">
        <w:rPr>
          <w:sz w:val="20"/>
          <w:szCs w:val="20"/>
          <w:lang w:val="en-US" w:eastAsia="uk-UA"/>
        </w:rPr>
        <w:t>:</w:t>
      </w:r>
      <w:r w:rsidRPr="00895032">
        <w:rPr>
          <w:sz w:val="20"/>
          <w:szCs w:val="20"/>
          <w:lang w:eastAsia="uk-UA"/>
        </w:rPr>
        <w:t xml:space="preserve"> 417-23 </w:t>
      </w:r>
      <w:hyperlink r:id="rId258" w:history="1">
        <w:r w:rsidRPr="00895032">
          <w:rPr>
            <w:color w:val="0563C1" w:themeColor="hyperlink"/>
            <w:sz w:val="20"/>
            <w:szCs w:val="20"/>
            <w:u w:val="single"/>
            <w:lang w:eastAsia="uk-UA"/>
          </w:rPr>
          <w:t>https://www.researchgate.net/publication/378926996_Enhancing_Badminton_Learning_for_Deaf_Children_Development_and_Evaluation_of_an_Interactive_Video_Teaching_Module</w:t>
        </w:r>
      </w:hyperlink>
    </w:p>
    <w:p w:rsidR="006206D2" w:rsidRPr="00895032" w:rsidRDefault="006206D2" w:rsidP="006206D2">
      <w:pPr>
        <w:widowControl w:val="0"/>
        <w:numPr>
          <w:ilvl w:val="0"/>
          <w:numId w:val="14"/>
        </w:numPr>
        <w:tabs>
          <w:tab w:val="left" w:pos="1134"/>
        </w:tabs>
        <w:autoSpaceDE w:val="0"/>
        <w:autoSpaceDN w:val="0"/>
        <w:spacing w:after="0" w:line="240" w:lineRule="auto"/>
        <w:ind w:left="0" w:firstLine="709"/>
        <w:jc w:val="both"/>
        <w:rPr>
          <w:sz w:val="20"/>
          <w:szCs w:val="20"/>
          <w:lang w:eastAsia="uk-UA"/>
        </w:rPr>
      </w:pPr>
      <w:r w:rsidRPr="00895032">
        <w:rPr>
          <w:sz w:val="20"/>
          <w:szCs w:val="20"/>
          <w:lang w:eastAsia="uk-UA"/>
        </w:rPr>
        <w:t>Turner AJ, Chander H, Kodithuwakku Arachchige SNK, Griffith A, Po-Lin Chen, et al. The Effects of an Inclusive Badminton Program on Static Postural Control for Individuals with Intellectual and Developmental Disabilities. Int J Environ Res Public Health. 2024</w:t>
      </w:r>
      <w:r w:rsidRPr="00895032">
        <w:rPr>
          <w:sz w:val="20"/>
          <w:szCs w:val="20"/>
          <w:lang w:val="en-US" w:eastAsia="uk-UA"/>
        </w:rPr>
        <w:t>;</w:t>
      </w:r>
      <w:r w:rsidRPr="00895032">
        <w:rPr>
          <w:sz w:val="20"/>
          <w:szCs w:val="20"/>
          <w:lang w:eastAsia="uk-UA"/>
        </w:rPr>
        <w:t> 21(2)</w:t>
      </w:r>
      <w:r w:rsidRPr="00895032">
        <w:rPr>
          <w:sz w:val="20"/>
          <w:szCs w:val="20"/>
          <w:lang w:val="en-US" w:eastAsia="uk-UA"/>
        </w:rPr>
        <w:t>:</w:t>
      </w:r>
      <w:r w:rsidRPr="00895032">
        <w:rPr>
          <w:sz w:val="20"/>
          <w:szCs w:val="20"/>
          <w:lang w:eastAsia="uk-UA"/>
        </w:rPr>
        <w:t xml:space="preserve"> 210. </w:t>
      </w:r>
      <w:hyperlink r:id="rId259" w:history="1">
        <w:r w:rsidRPr="00895032">
          <w:rPr>
            <w:color w:val="0563C1" w:themeColor="hyperlink"/>
            <w:sz w:val="20"/>
            <w:szCs w:val="20"/>
            <w:u w:val="single"/>
            <w:lang w:eastAsia="uk-UA"/>
          </w:rPr>
          <w:t>https://doi.org/10.3390/ijerph21020210</w:t>
        </w:r>
      </w:hyperlink>
      <w:r w:rsidRPr="00895032">
        <w:rPr>
          <w:sz w:val="20"/>
          <w:szCs w:val="20"/>
          <w:lang w:val="en-US" w:eastAsia="uk-UA"/>
        </w:rPr>
        <w:t>.</w:t>
      </w:r>
      <w:r w:rsidRPr="00895032">
        <w:rPr>
          <w:sz w:val="20"/>
          <w:szCs w:val="20"/>
          <w:lang w:eastAsia="uk-UA"/>
        </w:rPr>
        <w:t xml:space="preserve"> </w:t>
      </w:r>
    </w:p>
    <w:p w:rsidR="006206D2" w:rsidRPr="00895032" w:rsidRDefault="006206D2" w:rsidP="006206D2">
      <w:pPr>
        <w:tabs>
          <w:tab w:val="left" w:pos="1134"/>
        </w:tabs>
        <w:spacing w:after="0" w:line="240" w:lineRule="auto"/>
        <w:ind w:firstLine="709"/>
        <w:jc w:val="both"/>
        <w:rPr>
          <w:sz w:val="20"/>
          <w:szCs w:val="20"/>
          <w:lang w:eastAsia="uk-UA"/>
        </w:rPr>
      </w:pPr>
    </w:p>
    <w:p w:rsidR="006206D2" w:rsidRPr="003811B7" w:rsidRDefault="006206D2" w:rsidP="006206D2">
      <w:pPr>
        <w:spacing w:after="0" w:line="240" w:lineRule="auto"/>
        <w:ind w:firstLine="720"/>
        <w:jc w:val="center"/>
        <w:rPr>
          <w:b/>
          <w:bCs/>
          <w:sz w:val="20"/>
          <w:szCs w:val="24"/>
          <w:lang w:val="en-US" w:eastAsia="uk-UA"/>
        </w:rPr>
      </w:pPr>
      <w:r w:rsidRPr="003811B7">
        <w:rPr>
          <w:b/>
          <w:bCs/>
          <w:sz w:val="20"/>
          <w:szCs w:val="24"/>
          <w:lang w:val="en-US" w:eastAsia="uk-UA"/>
        </w:rPr>
        <w:t>References</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 xml:space="preserve">Voloshko LB, Sikalenko A. Badminton yak zasib fizychnoho vykhovannia ditei molodshoho shkilnoho viku z vadamy slukhu </w:t>
      </w:r>
      <w:r w:rsidRPr="00895032">
        <w:rPr>
          <w:sz w:val="20"/>
          <w:szCs w:val="20"/>
          <w:lang w:val="en-US" w:eastAsia="uk-UA"/>
        </w:rPr>
        <w:t>[</w:t>
      </w:r>
      <w:r w:rsidRPr="00895032">
        <w:rPr>
          <w:sz w:val="20"/>
          <w:szCs w:val="20"/>
          <w:lang w:eastAsia="uk-UA"/>
        </w:rPr>
        <w:t>Badminton as a Means of Physical Education for Primary School Children with Hearing Impairments</w:t>
      </w:r>
      <w:r w:rsidRPr="00895032">
        <w:rPr>
          <w:sz w:val="20"/>
          <w:szCs w:val="20"/>
          <w:lang w:val="en-US" w:eastAsia="uk-UA"/>
        </w:rPr>
        <w:t>]</w:t>
      </w:r>
      <w:r w:rsidRPr="00895032">
        <w:rPr>
          <w:sz w:val="20"/>
          <w:szCs w:val="20"/>
          <w:lang w:eastAsia="uk-UA"/>
        </w:rPr>
        <w:t>. In: Fizychna reabilitatsiia ta zdoroviazberezhuvalni tekhnolohii: realii i perspektyvy: materialy II Vseukr. nauk.-prakt. internet-konf. Poltava: PoltNTU; 2016. P.</w:t>
      </w:r>
      <w:r w:rsidRPr="00895032">
        <w:rPr>
          <w:sz w:val="20"/>
          <w:szCs w:val="20"/>
          <w:lang w:val="en-US" w:eastAsia="uk-UA"/>
        </w:rPr>
        <w:t> </w:t>
      </w:r>
      <w:r w:rsidRPr="00895032">
        <w:rPr>
          <w:sz w:val="20"/>
          <w:szCs w:val="20"/>
          <w:lang w:eastAsia="uk-UA"/>
        </w:rPr>
        <w:t>182</w:t>
      </w:r>
      <w:r w:rsidRPr="00895032">
        <w:rPr>
          <w:sz w:val="20"/>
          <w:szCs w:val="20"/>
          <w:lang w:val="en-US" w:eastAsia="uk-UA"/>
        </w:rPr>
        <w:t>-</w:t>
      </w:r>
      <w:r w:rsidRPr="00895032">
        <w:rPr>
          <w:sz w:val="20"/>
          <w:szCs w:val="20"/>
          <w:lang w:eastAsia="uk-UA"/>
        </w:rPr>
        <w:t>8.</w:t>
      </w:r>
      <w:r w:rsidRPr="00895032">
        <w:rPr>
          <w:sz w:val="20"/>
          <w:szCs w:val="20"/>
          <w:lang w:val="en-US" w:eastAsia="uk-UA"/>
        </w:rPr>
        <w:t xml:space="preserve"> </w:t>
      </w:r>
      <w:hyperlink r:id="rId260" w:history="1">
        <w:r w:rsidRPr="00895032">
          <w:rPr>
            <w:sz w:val="20"/>
            <w:szCs w:val="20"/>
            <w:lang w:eastAsia="uk-UA"/>
          </w:rPr>
          <w:t>https://reposit.nupp.edu.ua/handle/PoltNTU/1830</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Dotsiuk LH, Hauriak OD. Vykorystannia adaptyvnoi fizychnoi kultury dlia korektsii fizychnoho rozvytku shkoliariv z porushenniam slukhu</w:t>
      </w:r>
      <w:r w:rsidRPr="00895032">
        <w:rPr>
          <w:sz w:val="20"/>
          <w:szCs w:val="20"/>
          <w:lang w:val="en-US" w:eastAsia="uk-UA"/>
        </w:rPr>
        <w:t xml:space="preserve"> [</w:t>
      </w:r>
      <w:r w:rsidRPr="00895032">
        <w:rPr>
          <w:sz w:val="20"/>
          <w:szCs w:val="20"/>
          <w:lang w:eastAsia="uk-UA"/>
        </w:rPr>
        <w:t>Use of adaptive physical education for correcting the physical development of schoolchildren with hearing impairments</w:t>
      </w:r>
      <w:r w:rsidRPr="00895032">
        <w:rPr>
          <w:sz w:val="20"/>
          <w:szCs w:val="20"/>
          <w:lang w:val="en-US" w:eastAsia="uk-UA"/>
        </w:rPr>
        <w:t>]</w:t>
      </w:r>
      <w:r w:rsidRPr="00895032">
        <w:rPr>
          <w:sz w:val="20"/>
          <w:szCs w:val="20"/>
          <w:lang w:eastAsia="uk-UA"/>
        </w:rPr>
        <w:t>. Molodyi vchenyi. 2020;2(78):312</w:t>
      </w:r>
      <w:r w:rsidRPr="00895032">
        <w:rPr>
          <w:sz w:val="20"/>
          <w:szCs w:val="20"/>
          <w:lang w:val="en-US" w:eastAsia="uk-UA"/>
        </w:rPr>
        <w:t>-</w:t>
      </w:r>
      <w:r w:rsidRPr="00895032">
        <w:rPr>
          <w:sz w:val="20"/>
          <w:szCs w:val="20"/>
          <w:lang w:eastAsia="uk-UA"/>
        </w:rPr>
        <w:t xml:space="preserve">16. </w:t>
      </w:r>
      <w:hyperlink r:id="rId261" w:history="1">
        <w:r w:rsidRPr="00895032">
          <w:rPr>
            <w:color w:val="0563C1" w:themeColor="hyperlink"/>
            <w:sz w:val="20"/>
            <w:szCs w:val="20"/>
            <w:u w:val="single"/>
            <w:lang w:eastAsia="uk-UA"/>
          </w:rPr>
          <w:t>http://molodyvcheny.in.ua/files/journal/2017/3.1/34.pdf</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Zakamaldin V. Struktura ta osnovni napriamky fizychnoi reabilitatsii ditei z porushenniam slukhu z vykorystanniam ozdorovchykh zasobiv badmintonu</w:t>
      </w:r>
      <w:r w:rsidRPr="00895032">
        <w:rPr>
          <w:sz w:val="20"/>
          <w:szCs w:val="20"/>
          <w:lang w:val="en-US" w:eastAsia="uk-UA"/>
        </w:rPr>
        <w:t xml:space="preserve"> [</w:t>
      </w:r>
      <w:r w:rsidRPr="00895032">
        <w:rPr>
          <w:sz w:val="20"/>
          <w:szCs w:val="20"/>
          <w:lang w:eastAsia="uk-UA"/>
        </w:rPr>
        <w:t>Structure and main directions of physical rehabilitation of children with hearing impairments using health-improving badminton activities</w:t>
      </w:r>
      <w:r w:rsidRPr="00895032">
        <w:rPr>
          <w:sz w:val="20"/>
          <w:szCs w:val="20"/>
          <w:lang w:val="en-US" w:eastAsia="uk-UA"/>
        </w:rPr>
        <w:t>]</w:t>
      </w:r>
      <w:r w:rsidRPr="00895032">
        <w:rPr>
          <w:sz w:val="20"/>
          <w:szCs w:val="20"/>
          <w:lang w:eastAsia="uk-UA"/>
        </w:rPr>
        <w:t>: dyp. proiekt mahistra: 227 «Fizychna terapiia, erhoterapiia». ChNU im. Petra Mohyly. 2020. 62</w:t>
      </w:r>
      <w:r w:rsidRPr="00895032">
        <w:rPr>
          <w:sz w:val="20"/>
          <w:szCs w:val="20"/>
          <w:lang w:val="en-US" w:eastAsia="uk-UA"/>
        </w:rPr>
        <w:t> </w:t>
      </w:r>
      <w:r w:rsidRPr="00895032">
        <w:rPr>
          <w:sz w:val="20"/>
          <w:szCs w:val="20"/>
          <w:lang w:eastAsia="uk-UA"/>
        </w:rPr>
        <w:t>p.</w:t>
      </w:r>
      <w:r w:rsidRPr="00895032">
        <w:rPr>
          <w:sz w:val="20"/>
          <w:szCs w:val="20"/>
          <w:lang w:val="en-US" w:eastAsia="uk-UA"/>
        </w:rPr>
        <w:t xml:space="preserve"> </w:t>
      </w:r>
      <w:hyperlink r:id="rId262" w:history="1">
        <w:r w:rsidRPr="00895032">
          <w:rPr>
            <w:sz w:val="20"/>
            <w:szCs w:val="20"/>
            <w:lang w:eastAsia="uk-UA"/>
          </w:rPr>
          <w:t>https://krs.chmnu.edu.ua/jspui/handle/123456789/1077</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Mishyn MV, Petrenko IV, Kyiko AS. Optymizatsiia protsesu fizychnoi pidhotovky 10-11-richnykh sportsmeniv z vadamy slukhu, yaki zaimaiutsia Dzhyu-dzhytsu</w:t>
      </w:r>
      <w:r w:rsidRPr="00895032">
        <w:rPr>
          <w:sz w:val="20"/>
          <w:szCs w:val="20"/>
          <w:lang w:val="en-US" w:eastAsia="uk-UA"/>
        </w:rPr>
        <w:t xml:space="preserve"> [</w:t>
      </w:r>
      <w:r w:rsidRPr="00895032">
        <w:rPr>
          <w:sz w:val="20"/>
          <w:szCs w:val="20"/>
          <w:lang w:eastAsia="uk-UA"/>
        </w:rPr>
        <w:t>Optimization of the physical training process of 10–11-year-old athletes with hearing impairments practicing jiu-jitsu</w:t>
      </w:r>
      <w:r w:rsidRPr="00895032">
        <w:rPr>
          <w:sz w:val="20"/>
          <w:szCs w:val="20"/>
          <w:lang w:val="en-US" w:eastAsia="uk-UA"/>
        </w:rPr>
        <w:t>]</w:t>
      </w:r>
      <w:r w:rsidRPr="00895032">
        <w:rPr>
          <w:sz w:val="20"/>
          <w:szCs w:val="20"/>
          <w:lang w:eastAsia="uk-UA"/>
        </w:rPr>
        <w:t xml:space="preserve">. Slobozhanskyi naukovo-sportyvnyi </w:t>
      </w:r>
      <w:r w:rsidRPr="00895032">
        <w:rPr>
          <w:sz w:val="20"/>
          <w:szCs w:val="20"/>
          <w:lang w:eastAsia="uk-UA"/>
        </w:rPr>
        <w:lastRenderedPageBreak/>
        <w:t>visnyk. 2020;4(78):17-23.</w:t>
      </w:r>
      <w:r w:rsidRPr="00895032">
        <w:rPr>
          <w:sz w:val="20"/>
          <w:szCs w:val="20"/>
          <w:lang w:val="en-US" w:eastAsia="uk-UA"/>
        </w:rPr>
        <w:t xml:space="preserve"> </w:t>
      </w:r>
      <w:hyperlink r:id="rId263" w:history="1">
        <w:r w:rsidRPr="00895032">
          <w:rPr>
            <w:sz w:val="20"/>
            <w:szCs w:val="20"/>
            <w:lang w:eastAsia="uk-UA"/>
          </w:rPr>
          <w:t>https://doi.org/10.15391/snsv.2020-4.003</w:t>
        </w:r>
      </w:hyperlink>
      <w:r w:rsidRPr="00895032">
        <w:rPr>
          <w:sz w:val="20"/>
          <w:szCs w:val="20"/>
          <w:lang w:val="en-US" w:eastAsia="uk-UA"/>
        </w:rPr>
        <w:t xml:space="preserve"> (in Ukrainian).</w:t>
      </w:r>
      <w:r w:rsidRPr="00895032">
        <w:rPr>
          <w:sz w:val="20"/>
          <w:szCs w:val="20"/>
          <w:lang w:eastAsia="uk-UA"/>
        </w:rPr>
        <w:t xml:space="preserve"> </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Sobko I, Sterin V, Sobko Ya, Sterin M, Liubiieva V. Zasoby adaptyvnoho sportu dlia rozvytku fizychnykh zdibnostei sportsmeniv (na prykladi badmintonistiv z vadamy slukhu)</w:t>
      </w:r>
      <w:r w:rsidRPr="00895032">
        <w:rPr>
          <w:sz w:val="20"/>
          <w:szCs w:val="20"/>
          <w:lang w:val="en-US" w:eastAsia="uk-UA"/>
        </w:rPr>
        <w:t xml:space="preserve"> [</w:t>
      </w:r>
      <w:r w:rsidRPr="00895032">
        <w:rPr>
          <w:sz w:val="20"/>
          <w:szCs w:val="20"/>
          <w:lang w:eastAsia="uk-UA"/>
        </w:rPr>
        <w:t>Adaptive sports means for the development of athletes' physical abilities (a case study of badminton players with hearing impairments)</w:t>
      </w:r>
      <w:r w:rsidRPr="00895032">
        <w:rPr>
          <w:sz w:val="20"/>
          <w:szCs w:val="20"/>
          <w:lang w:val="en-US" w:eastAsia="uk-UA"/>
        </w:rPr>
        <w:t>]</w:t>
      </w:r>
      <w:r w:rsidRPr="00895032">
        <w:rPr>
          <w:sz w:val="20"/>
          <w:szCs w:val="20"/>
          <w:lang w:eastAsia="uk-UA"/>
        </w:rPr>
        <w:t>. Naukovyi chasopys Ukrainskoho derzhavnoho universytetu imeni Mykhaila Drahomanova. Seriia 15. 2025;5(192):154-60.</w:t>
      </w:r>
      <w:r w:rsidRPr="00895032">
        <w:rPr>
          <w:sz w:val="20"/>
          <w:szCs w:val="20"/>
          <w:lang w:val="en-US" w:eastAsia="uk-UA"/>
        </w:rPr>
        <w:t xml:space="preserve"> </w:t>
      </w:r>
      <w:hyperlink r:id="rId264" w:history="1">
        <w:r w:rsidRPr="00895032">
          <w:rPr>
            <w:sz w:val="20"/>
            <w:szCs w:val="20"/>
            <w:lang w:eastAsia="uk-UA"/>
          </w:rPr>
          <w:t>https://doi.org/10.31392/UDU-nc.series15.2025.05(192).34</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Pochtarov AS, Yurchyshyn YuV. Struktura ta osoblyvosti interesu ditei iz vadamy slukhu do rukhovoi aktyvnosti u riznykh formakh</w:t>
      </w:r>
      <w:r w:rsidRPr="00895032">
        <w:rPr>
          <w:sz w:val="20"/>
          <w:szCs w:val="20"/>
          <w:lang w:val="en-US" w:eastAsia="uk-UA"/>
        </w:rPr>
        <w:t xml:space="preserve"> [</w:t>
      </w:r>
      <w:r w:rsidRPr="00895032">
        <w:rPr>
          <w:sz w:val="20"/>
          <w:szCs w:val="20"/>
          <w:lang w:eastAsia="uk-UA"/>
        </w:rPr>
        <w:t>Structure and peculiarities of children’s interest in physical activity in various forms among children with hearing impairments</w:t>
      </w:r>
      <w:r w:rsidRPr="00895032">
        <w:rPr>
          <w:sz w:val="20"/>
          <w:szCs w:val="20"/>
          <w:lang w:val="en-US" w:eastAsia="uk-UA"/>
        </w:rPr>
        <w:t>]</w:t>
      </w:r>
      <w:r w:rsidRPr="00895032">
        <w:rPr>
          <w:sz w:val="20"/>
          <w:szCs w:val="20"/>
          <w:lang w:eastAsia="uk-UA"/>
        </w:rPr>
        <w:t>. Visnyk Kamianets-Podilskoho natsionalnoho universytetu imeni Ivana Ohiienka. Fizychne vykhovannia, sport i zdorovia liudyny. 2025;30(4):270</w:t>
      </w:r>
      <w:r w:rsidRPr="00895032">
        <w:rPr>
          <w:sz w:val="20"/>
          <w:szCs w:val="20"/>
          <w:lang w:val="en-US" w:eastAsia="uk-UA"/>
        </w:rPr>
        <w:t>-</w:t>
      </w:r>
      <w:r w:rsidRPr="00895032">
        <w:rPr>
          <w:sz w:val="20"/>
          <w:szCs w:val="20"/>
          <w:lang w:eastAsia="uk-UA"/>
        </w:rPr>
        <w:t>77.</w:t>
      </w:r>
      <w:r w:rsidRPr="00895032">
        <w:rPr>
          <w:sz w:val="20"/>
          <w:szCs w:val="20"/>
          <w:lang w:val="en-US" w:eastAsia="uk-UA"/>
        </w:rPr>
        <w:t xml:space="preserve"> </w:t>
      </w:r>
      <w:hyperlink r:id="rId265" w:history="1">
        <w:r w:rsidRPr="00895032">
          <w:rPr>
            <w:sz w:val="20"/>
            <w:szCs w:val="20"/>
            <w:lang w:eastAsia="uk-UA"/>
          </w:rPr>
          <w:t>https://doi.org/10.32626/2309-8082.2025-30(4).270-277</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Stebliuk SV, Pyshka OP. Hra yak metod navchannia v inkliuzyvnomu osvitnomu seredovyshchi</w:t>
      </w:r>
      <w:r w:rsidRPr="00895032">
        <w:rPr>
          <w:sz w:val="20"/>
          <w:szCs w:val="20"/>
          <w:lang w:val="en-US" w:eastAsia="uk-UA"/>
        </w:rPr>
        <w:t xml:space="preserve"> [</w:t>
      </w:r>
      <w:r w:rsidRPr="00895032">
        <w:rPr>
          <w:sz w:val="20"/>
          <w:szCs w:val="20"/>
          <w:lang w:eastAsia="uk-UA"/>
        </w:rPr>
        <w:t>Play as a teaching method in an inclusive educational environment</w:t>
      </w:r>
      <w:r w:rsidRPr="00895032">
        <w:rPr>
          <w:sz w:val="20"/>
          <w:szCs w:val="20"/>
          <w:lang w:val="en-US" w:eastAsia="uk-UA"/>
        </w:rPr>
        <w:t>]</w:t>
      </w:r>
      <w:r w:rsidRPr="00895032">
        <w:rPr>
          <w:sz w:val="20"/>
          <w:szCs w:val="20"/>
          <w:lang w:eastAsia="uk-UA"/>
        </w:rPr>
        <w:t>. Innovatsiina pedahohika. 2022;43(2):43</w:t>
      </w:r>
      <w:r w:rsidRPr="00895032">
        <w:rPr>
          <w:sz w:val="20"/>
          <w:szCs w:val="20"/>
          <w:lang w:val="en-US" w:eastAsia="uk-UA"/>
        </w:rPr>
        <w:t>-</w:t>
      </w:r>
      <w:r w:rsidRPr="00895032">
        <w:rPr>
          <w:sz w:val="20"/>
          <w:szCs w:val="20"/>
          <w:lang w:eastAsia="uk-UA"/>
        </w:rPr>
        <w:t>7.</w:t>
      </w:r>
      <w:r w:rsidRPr="00895032">
        <w:rPr>
          <w:sz w:val="20"/>
          <w:szCs w:val="20"/>
          <w:lang w:val="en-US" w:eastAsia="uk-UA"/>
        </w:rPr>
        <w:t xml:space="preserve"> </w:t>
      </w:r>
      <w:hyperlink r:id="rId266" w:history="1">
        <w:r w:rsidRPr="00895032">
          <w:rPr>
            <w:color w:val="0563C1" w:themeColor="hyperlink"/>
            <w:sz w:val="20"/>
            <w:szCs w:val="20"/>
            <w:u w:val="single"/>
            <w:lang w:eastAsia="uk-UA"/>
          </w:rPr>
          <w:t>https://doi.org/10.32843/2663-6085/2022/43/2.8</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Pochtarov AS, Yurchyshyn YuV. Model realizatsii orhanizatsiino-pedahohichnykh umov udoskonalennia rukhovykh zdibnostei ditei z vadamy slukhu na urokakh fizychnoi kultury zasobamy badmintonu</w:t>
      </w:r>
      <w:r w:rsidRPr="00895032">
        <w:rPr>
          <w:sz w:val="20"/>
          <w:szCs w:val="20"/>
          <w:lang w:val="en-US" w:eastAsia="uk-UA"/>
        </w:rPr>
        <w:t xml:space="preserve"> [</w:t>
      </w:r>
      <w:r w:rsidRPr="00895032">
        <w:rPr>
          <w:sz w:val="20"/>
          <w:szCs w:val="20"/>
          <w:lang w:eastAsia="uk-UA"/>
        </w:rPr>
        <w:t>Model for implementing organizational and pedagogical conditions for improving motor abilities of children with hearing impairments in physical education classes through badminton</w:t>
      </w:r>
      <w:r w:rsidRPr="00895032">
        <w:rPr>
          <w:sz w:val="20"/>
          <w:szCs w:val="20"/>
          <w:lang w:val="en-US" w:eastAsia="uk-UA"/>
        </w:rPr>
        <w:t>]</w:t>
      </w:r>
      <w:r w:rsidRPr="00895032">
        <w:rPr>
          <w:sz w:val="20"/>
          <w:szCs w:val="20"/>
          <w:lang w:eastAsia="uk-UA"/>
        </w:rPr>
        <w:t>. Innovatsiina pedahohika. 2026;95(2):70</w:t>
      </w:r>
      <w:r w:rsidRPr="00895032">
        <w:rPr>
          <w:sz w:val="20"/>
          <w:szCs w:val="20"/>
          <w:lang w:val="en-US" w:eastAsia="uk-UA"/>
        </w:rPr>
        <w:t>-</w:t>
      </w:r>
      <w:r w:rsidRPr="00895032">
        <w:rPr>
          <w:sz w:val="20"/>
          <w:szCs w:val="20"/>
          <w:lang w:eastAsia="uk-UA"/>
        </w:rPr>
        <w:t>5.</w:t>
      </w:r>
      <w:r w:rsidRPr="00895032">
        <w:rPr>
          <w:sz w:val="20"/>
          <w:szCs w:val="20"/>
          <w:lang w:val="en-US" w:eastAsia="uk-UA"/>
        </w:rPr>
        <w:t xml:space="preserve"> </w:t>
      </w:r>
      <w:hyperlink r:id="rId267" w:history="1">
        <w:r w:rsidRPr="00895032">
          <w:rPr>
            <w:sz w:val="20"/>
            <w:szCs w:val="20"/>
            <w:lang w:eastAsia="uk-UA"/>
          </w:rPr>
          <w:t>https://doi.org/10.32782/ip/95.2.11</w:t>
        </w:r>
      </w:hyperlink>
      <w:r w:rsidRPr="00895032">
        <w:rPr>
          <w:sz w:val="20"/>
          <w:szCs w:val="20"/>
          <w:lang w:val="en-US" w:eastAsia="uk-UA"/>
        </w:rPr>
        <w:t xml:space="preserve"> (in Ukrainian).</w:t>
      </w:r>
      <w:r w:rsidRPr="00895032">
        <w:rPr>
          <w:sz w:val="20"/>
          <w:szCs w:val="20"/>
          <w:lang w:eastAsia="uk-UA"/>
        </w:rPr>
        <w:t xml:space="preserve"> </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Bibik NM. Nova ukrainska shkola: poradnyk dlia vchytelia</w:t>
      </w:r>
      <w:r w:rsidRPr="00895032">
        <w:rPr>
          <w:sz w:val="20"/>
          <w:szCs w:val="20"/>
          <w:lang w:val="en-US" w:eastAsia="uk-UA"/>
        </w:rPr>
        <w:t xml:space="preserve"> [</w:t>
      </w:r>
      <w:r w:rsidRPr="00895032">
        <w:rPr>
          <w:sz w:val="20"/>
          <w:szCs w:val="20"/>
          <w:lang w:eastAsia="uk-UA"/>
        </w:rPr>
        <w:t>The New Ukrainian School: A Teacher’s Guide</w:t>
      </w:r>
      <w:r w:rsidRPr="00895032">
        <w:rPr>
          <w:sz w:val="20"/>
          <w:szCs w:val="20"/>
          <w:lang w:val="en-US" w:eastAsia="uk-UA"/>
        </w:rPr>
        <w:t>]</w:t>
      </w:r>
      <w:r w:rsidRPr="00895032">
        <w:rPr>
          <w:sz w:val="20"/>
          <w:szCs w:val="20"/>
          <w:lang w:eastAsia="uk-UA"/>
        </w:rPr>
        <w:t xml:space="preserve">. Kyiv: TOV «Vydavnychyi dim “Pleiady”»; 2019. 206 p. </w:t>
      </w:r>
      <w:hyperlink r:id="rId268" w:history="1">
        <w:r w:rsidRPr="00895032">
          <w:rPr>
            <w:color w:val="0563C1" w:themeColor="hyperlink"/>
            <w:sz w:val="20"/>
            <w:szCs w:val="20"/>
            <w:u w:val="single"/>
            <w:lang w:eastAsia="uk-UA"/>
          </w:rPr>
          <w:t>https://nus.org.ua/wp-content/uploads/2017/11/NUSH-poradnyk-dlya-vchytelya.pdf</w:t>
        </w:r>
      </w:hyperlink>
      <w:r w:rsidRPr="00895032">
        <w:rPr>
          <w:sz w:val="20"/>
          <w:szCs w:val="20"/>
          <w:lang w:val="en-US" w:eastAsia="uk-UA"/>
        </w:rPr>
        <w:t xml:space="preserve"> (in Ukrainian)</w:t>
      </w:r>
      <w:r w:rsidRPr="00895032">
        <w:rPr>
          <w:sz w:val="20"/>
          <w:szCs w:val="20"/>
          <w:lang w:eastAsia="uk-UA"/>
        </w:rPr>
        <w:t>.</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Sterin V, Sobko Ya, Sterin M, Reva V. Sportyvni ihry yak zasib vdoskonalennia koordynatsiinykh zdibnostei badmintonistiv iz vadamy slukhu</w:t>
      </w:r>
      <w:r w:rsidRPr="00895032">
        <w:rPr>
          <w:sz w:val="20"/>
          <w:szCs w:val="20"/>
          <w:lang w:val="en-US" w:eastAsia="uk-UA"/>
        </w:rPr>
        <w:t xml:space="preserve"> [</w:t>
      </w:r>
      <w:r w:rsidRPr="00895032">
        <w:rPr>
          <w:sz w:val="20"/>
          <w:szCs w:val="20"/>
          <w:lang w:eastAsia="uk-UA"/>
        </w:rPr>
        <w:t>Sports games as a means of improving coordination abilities of badminton players with hearing impairments</w:t>
      </w:r>
      <w:r w:rsidRPr="00895032">
        <w:rPr>
          <w:sz w:val="20"/>
          <w:szCs w:val="20"/>
          <w:lang w:val="en-US" w:eastAsia="uk-UA"/>
        </w:rPr>
        <w:t>]</w:t>
      </w:r>
      <w:r w:rsidRPr="00895032">
        <w:rPr>
          <w:sz w:val="20"/>
          <w:szCs w:val="20"/>
          <w:lang w:eastAsia="uk-UA"/>
        </w:rPr>
        <w:t>. Physical culture and sport: scientific perspective. 2024;(4):195-201.</w:t>
      </w:r>
      <w:r w:rsidRPr="00895032">
        <w:rPr>
          <w:sz w:val="20"/>
          <w:szCs w:val="20"/>
          <w:lang w:val="en-US" w:eastAsia="uk-UA"/>
        </w:rPr>
        <w:t xml:space="preserve"> </w:t>
      </w:r>
      <w:hyperlink r:id="rId269" w:history="1">
        <w:r w:rsidRPr="00895032">
          <w:rPr>
            <w:sz w:val="20"/>
            <w:szCs w:val="20"/>
            <w:lang w:eastAsia="uk-UA"/>
          </w:rPr>
          <w:t>https://doi.org/10.31891/pcs.2024.4.27</w:t>
        </w:r>
      </w:hyperlink>
      <w:r w:rsidRPr="00895032">
        <w:rPr>
          <w:sz w:val="20"/>
          <w:szCs w:val="20"/>
          <w:lang w:val="en-US" w:eastAsia="uk-UA"/>
        </w:rPr>
        <w:t xml:space="preserve"> (in Ukrainian).</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Göktaş A, Üstündağ A, Şahin AZ. Activity participation on executive functions and well-being of hearing impaired children. BMC Public Health. 2025;1215.</w:t>
      </w:r>
      <w:r w:rsidRPr="00895032">
        <w:rPr>
          <w:sz w:val="20"/>
          <w:szCs w:val="20"/>
          <w:lang w:val="en-US" w:eastAsia="uk-UA"/>
        </w:rPr>
        <w:t xml:space="preserve"> </w:t>
      </w:r>
      <w:hyperlink r:id="rId270" w:history="1">
        <w:r w:rsidRPr="00895032">
          <w:rPr>
            <w:sz w:val="20"/>
            <w:szCs w:val="20"/>
            <w:lang w:eastAsia="uk-UA"/>
          </w:rPr>
          <w:t>https://doi.org/10.1186/s12889-025-22146-z</w:t>
        </w:r>
      </w:hyperlink>
      <w:r w:rsidRPr="00895032">
        <w:rPr>
          <w:sz w:val="20"/>
          <w:szCs w:val="20"/>
          <w:lang w:val="en-US" w:eastAsia="uk-UA"/>
        </w:rPr>
        <w:t>.</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Sepdanius E, Kurniawan I, Sidi M Adli Bin Mohd, Pranoto NW, Fahmil H, Saputra E, Orhan BE. Enhancing Badminton Learning for Deaf Children: Development and Evaluation of an Interactive Video Teaching Module. Retos: nuevas tendencias en educación física, deportes y recreación. 2024;54:417-23.</w:t>
      </w:r>
      <w:r w:rsidRPr="00895032">
        <w:rPr>
          <w:sz w:val="20"/>
          <w:szCs w:val="20"/>
          <w:lang w:val="en-US" w:eastAsia="uk-UA"/>
        </w:rPr>
        <w:t xml:space="preserve"> </w:t>
      </w:r>
      <w:hyperlink r:id="rId271" w:history="1">
        <w:r w:rsidRPr="00895032">
          <w:rPr>
            <w:sz w:val="20"/>
            <w:szCs w:val="20"/>
            <w:lang w:eastAsia="uk-UA"/>
          </w:rPr>
          <w:t>https://www.researchgate.net/publication/378926996_Enhancing_Badminton_Learning_for_Deaf_Children_Development_and_Evaluation_of_an_Interactive_Video_Teaching_Module</w:t>
        </w:r>
      </w:hyperlink>
      <w:r w:rsidRPr="00895032">
        <w:rPr>
          <w:sz w:val="20"/>
          <w:szCs w:val="20"/>
          <w:lang w:val="en-US" w:eastAsia="uk-UA"/>
        </w:rPr>
        <w:t>.</w:t>
      </w:r>
    </w:p>
    <w:p w:rsidR="006206D2" w:rsidRPr="00895032" w:rsidRDefault="006206D2" w:rsidP="006206D2">
      <w:pPr>
        <w:widowControl w:val="0"/>
        <w:numPr>
          <w:ilvl w:val="0"/>
          <w:numId w:val="15"/>
        </w:numPr>
        <w:tabs>
          <w:tab w:val="left" w:pos="851"/>
        </w:tabs>
        <w:autoSpaceDE w:val="0"/>
        <w:autoSpaceDN w:val="0"/>
        <w:spacing w:after="0" w:line="240" w:lineRule="auto"/>
        <w:ind w:left="0" w:firstLine="567"/>
        <w:jc w:val="both"/>
        <w:rPr>
          <w:sz w:val="20"/>
          <w:szCs w:val="20"/>
          <w:lang w:eastAsia="uk-UA"/>
        </w:rPr>
      </w:pPr>
      <w:r w:rsidRPr="00895032">
        <w:rPr>
          <w:sz w:val="20"/>
          <w:szCs w:val="20"/>
          <w:lang w:eastAsia="uk-UA"/>
        </w:rPr>
        <w:t>Turner AJ, Chander H, Kodithuwakku Arachchige SNK, Griffith A, Po-Lin Chen, et al. The Effects of an Inclusive Badminton Program on Static Postural Control for Individuals with Intellectual and Developmental Disabilities. Int J Environ Res Public Health. 2024;21(2):210.</w:t>
      </w:r>
      <w:r w:rsidRPr="00895032">
        <w:rPr>
          <w:sz w:val="20"/>
          <w:szCs w:val="20"/>
          <w:lang w:val="en-US" w:eastAsia="uk-UA"/>
        </w:rPr>
        <w:t xml:space="preserve"> </w:t>
      </w:r>
      <w:hyperlink r:id="rId272" w:history="1">
        <w:r w:rsidRPr="00895032">
          <w:rPr>
            <w:sz w:val="20"/>
            <w:szCs w:val="20"/>
            <w:lang w:eastAsia="uk-UA"/>
          </w:rPr>
          <w:t>https://doi.org/10.3390/ijerph21020210</w:t>
        </w:r>
      </w:hyperlink>
      <w:r w:rsidRPr="00895032">
        <w:rPr>
          <w:sz w:val="20"/>
          <w:szCs w:val="20"/>
          <w:lang w:val="en-US" w:eastAsia="uk-UA"/>
        </w:rPr>
        <w:t>.</w:t>
      </w:r>
    </w:p>
    <w:p w:rsidR="006206D2" w:rsidRPr="00895032" w:rsidRDefault="006206D2" w:rsidP="006206D2">
      <w:pPr>
        <w:autoSpaceDE w:val="0"/>
        <w:autoSpaceDN w:val="0"/>
        <w:adjustRightInd w:val="0"/>
        <w:spacing w:after="0" w:line="240" w:lineRule="auto"/>
        <w:jc w:val="both"/>
        <w:rPr>
          <w:rFonts w:eastAsiaTheme="minorHAnsi"/>
          <w:sz w:val="20"/>
          <w:szCs w:val="20"/>
        </w:rPr>
      </w:pPr>
    </w:p>
    <w:tbl>
      <w:tblPr>
        <w:tblStyle w:val="51"/>
        <w:tblW w:w="0" w:type="auto"/>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286"/>
      </w:tblGrid>
      <w:tr w:rsidR="006206D2" w:rsidRPr="00895032" w:rsidTr="000E5F67">
        <w:tc>
          <w:tcPr>
            <w:tcW w:w="9286" w:type="dxa"/>
            <w:shd w:val="clear" w:color="auto" w:fill="BFBFBF" w:themeFill="background1" w:themeFillShade="BF"/>
          </w:tcPr>
          <w:p w:rsidR="006206D2" w:rsidRPr="00895032" w:rsidRDefault="006206D2" w:rsidP="000E5F67">
            <w:pPr>
              <w:spacing w:before="100" w:after="100" w:line="240" w:lineRule="auto"/>
              <w:contextualSpacing/>
              <w:jc w:val="both"/>
              <w:rPr>
                <w:b/>
                <w:sz w:val="20"/>
                <w:szCs w:val="20"/>
                <w:lang w:eastAsia="uk-UA"/>
              </w:rPr>
            </w:pPr>
            <w:r w:rsidRPr="00895032">
              <w:rPr>
                <w:b/>
                <w:sz w:val="20"/>
                <w:szCs w:val="24"/>
                <w:lang w:eastAsia="uk-UA"/>
              </w:rPr>
              <w:t>Цитування на</w:t>
            </w:r>
            <w:r w:rsidRPr="00895032">
              <w:rPr>
                <w:b/>
                <w:spacing w:val="2"/>
                <w:sz w:val="20"/>
                <w:szCs w:val="24"/>
                <w:lang w:eastAsia="uk-UA"/>
              </w:rPr>
              <w:t xml:space="preserve"> </w:t>
            </w:r>
            <w:r w:rsidRPr="00895032">
              <w:rPr>
                <w:b/>
                <w:sz w:val="20"/>
                <w:szCs w:val="24"/>
                <w:lang w:eastAsia="uk-UA"/>
              </w:rPr>
              <w:t>цю статтю:</w:t>
            </w:r>
          </w:p>
        </w:tc>
      </w:tr>
      <w:tr w:rsidR="006206D2" w:rsidRPr="00895032" w:rsidTr="000E5F67">
        <w:tc>
          <w:tcPr>
            <w:tcW w:w="9286" w:type="dxa"/>
          </w:tcPr>
          <w:p w:rsidR="006206D2" w:rsidRPr="00895032" w:rsidRDefault="006206D2" w:rsidP="00577D33">
            <w:pPr>
              <w:spacing w:before="100" w:after="100" w:line="240" w:lineRule="auto"/>
              <w:contextualSpacing/>
              <w:jc w:val="both"/>
              <w:rPr>
                <w:i/>
                <w:sz w:val="20"/>
                <w:szCs w:val="20"/>
                <w:lang w:eastAsia="uk-UA"/>
              </w:rPr>
            </w:pPr>
            <w:r w:rsidRPr="00895032">
              <w:rPr>
                <w:rFonts w:cs="Mangal"/>
                <w:kern w:val="1"/>
                <w:sz w:val="20"/>
                <w:szCs w:val="20"/>
                <w:shd w:val="clear" w:color="auto" w:fill="FFFFFF"/>
                <w:lang w:eastAsia="uk-UA" w:bidi="hi-IN"/>
              </w:rPr>
              <w:t>Почтарьов АС</w:t>
            </w:r>
            <w:r w:rsidRPr="00895032">
              <w:rPr>
                <w:rFonts w:cs="Mangal"/>
                <w:kern w:val="1"/>
                <w:sz w:val="20"/>
                <w:szCs w:val="20"/>
                <w:lang w:eastAsia="uk-UA" w:bidi="hi-IN"/>
              </w:rPr>
              <w:t xml:space="preserve">, Юрчишин ЮВ. </w:t>
            </w:r>
            <w:r w:rsidRPr="00895032">
              <w:rPr>
                <w:bCs/>
                <w:sz w:val="20"/>
                <w:szCs w:val="20"/>
                <w:lang w:eastAsia="uk-UA"/>
              </w:rPr>
              <w:t xml:space="preserve">Ефективність організаційно-педагогічних умов удосконалення рухових здібностей дітей з порушеннями слуху на уроках фізичної культури засобами бадмінтону. </w:t>
            </w:r>
            <w:r w:rsidRPr="00895032">
              <w:rPr>
                <w:sz w:val="20"/>
                <w:szCs w:val="20"/>
                <w:lang w:eastAsia="uk-UA"/>
              </w:rPr>
              <w:t>Вісник Прикарпатського університету</w:t>
            </w:r>
            <w:r w:rsidRPr="00895032">
              <w:rPr>
                <w:rFonts w:cs="Mangal"/>
                <w:kern w:val="1"/>
                <w:sz w:val="20"/>
                <w:szCs w:val="20"/>
                <w:lang w:eastAsia="uk-UA" w:bidi="hi-IN"/>
              </w:rPr>
              <w:t xml:space="preserve">. </w:t>
            </w:r>
            <w:r w:rsidRPr="00895032">
              <w:rPr>
                <w:kern w:val="1"/>
                <w:sz w:val="20"/>
                <w:szCs w:val="20"/>
                <w:lang w:eastAsia="uk-UA" w:bidi="hi-IN"/>
              </w:rPr>
              <w:t>Серія:</w:t>
            </w:r>
            <w:r w:rsidRPr="00895032">
              <w:rPr>
                <w:rFonts w:cs="Mangal"/>
                <w:kern w:val="1"/>
                <w:sz w:val="20"/>
                <w:szCs w:val="20"/>
                <w:lang w:eastAsia="uk-UA" w:bidi="hi-IN"/>
              </w:rPr>
              <w:t xml:space="preserve"> </w:t>
            </w:r>
            <w:r w:rsidRPr="00895032">
              <w:rPr>
                <w:kern w:val="1"/>
                <w:sz w:val="20"/>
                <w:szCs w:val="20"/>
                <w:lang w:eastAsia="uk-UA" w:bidi="hi-IN"/>
              </w:rPr>
              <w:t>Фізична</w:t>
            </w:r>
            <w:r w:rsidRPr="00895032">
              <w:rPr>
                <w:rFonts w:cs="Mangal"/>
                <w:kern w:val="1"/>
                <w:sz w:val="20"/>
                <w:szCs w:val="20"/>
                <w:lang w:eastAsia="uk-UA" w:bidi="hi-IN"/>
              </w:rPr>
              <w:t xml:space="preserve"> </w:t>
            </w:r>
            <w:r w:rsidRPr="00895032">
              <w:rPr>
                <w:spacing w:val="-1"/>
                <w:kern w:val="1"/>
                <w:sz w:val="20"/>
                <w:szCs w:val="20"/>
                <w:lang w:eastAsia="uk-UA" w:bidi="hi-IN"/>
              </w:rPr>
              <w:t>культура.</w:t>
            </w:r>
            <w:r w:rsidRPr="00895032">
              <w:rPr>
                <w:rFonts w:cs="Mangal"/>
                <w:spacing w:val="5"/>
                <w:kern w:val="1"/>
                <w:sz w:val="20"/>
                <w:szCs w:val="20"/>
                <w:lang w:eastAsia="uk-UA" w:bidi="hi-IN"/>
              </w:rPr>
              <w:t xml:space="preserve"> </w:t>
            </w:r>
            <w:r w:rsidRPr="00895032">
              <w:rPr>
                <w:rFonts w:cs="Mangal"/>
                <w:spacing w:val="1"/>
                <w:kern w:val="1"/>
                <w:sz w:val="20"/>
                <w:szCs w:val="20"/>
                <w:lang w:eastAsia="uk-UA" w:bidi="hi-IN"/>
              </w:rPr>
              <w:t>2026</w:t>
            </w:r>
            <w:r w:rsidRPr="00895032">
              <w:rPr>
                <w:rFonts w:cs="Mangal"/>
                <w:kern w:val="1"/>
                <w:sz w:val="20"/>
                <w:szCs w:val="20"/>
                <w:lang w:eastAsia="uk-UA" w:bidi="hi-IN"/>
              </w:rPr>
              <w:t xml:space="preserve"> </w:t>
            </w:r>
            <w:r w:rsidRPr="00895032">
              <w:rPr>
                <w:spacing w:val="-1"/>
                <w:kern w:val="1"/>
                <w:sz w:val="20"/>
                <w:szCs w:val="20"/>
                <w:lang w:eastAsia="uk-UA" w:bidi="hi-IN"/>
              </w:rPr>
              <w:t>Травень 05</w:t>
            </w:r>
            <w:r w:rsidRPr="00895032">
              <w:rPr>
                <w:rFonts w:cs="Mangal"/>
                <w:spacing w:val="1"/>
                <w:kern w:val="1"/>
                <w:sz w:val="20"/>
                <w:szCs w:val="20"/>
                <w:lang w:eastAsia="uk-UA" w:bidi="hi-IN"/>
              </w:rPr>
              <w:t>;</w:t>
            </w:r>
            <w:r w:rsidRPr="00895032">
              <w:rPr>
                <w:rFonts w:cs="Mangal"/>
                <w:spacing w:val="-1"/>
                <w:kern w:val="1"/>
                <w:sz w:val="20"/>
                <w:szCs w:val="20"/>
                <w:lang w:eastAsia="uk-UA" w:bidi="hi-IN"/>
              </w:rPr>
              <w:t xml:space="preserve"> </w:t>
            </w:r>
            <w:r w:rsidRPr="00895032">
              <w:rPr>
                <w:rFonts w:cs="Mangal"/>
                <w:spacing w:val="1"/>
                <w:kern w:val="1"/>
                <w:sz w:val="20"/>
                <w:szCs w:val="20"/>
                <w:lang w:eastAsia="uk-UA" w:bidi="hi-IN"/>
              </w:rPr>
              <w:t xml:space="preserve">46: </w:t>
            </w:r>
            <w:r>
              <w:rPr>
                <w:rFonts w:cs="Mangal"/>
                <w:kern w:val="1"/>
                <w:sz w:val="20"/>
                <w:szCs w:val="20"/>
                <w:lang w:eastAsia="uk-UA" w:bidi="hi-IN"/>
              </w:rPr>
              <w:t>90</w:t>
            </w:r>
            <w:r w:rsidRPr="00895032">
              <w:rPr>
                <w:rFonts w:cs="Mangal"/>
                <w:kern w:val="1"/>
                <w:sz w:val="20"/>
                <w:szCs w:val="20"/>
                <w:lang w:eastAsia="uk-UA" w:bidi="hi-IN"/>
              </w:rPr>
              <w:t>-</w:t>
            </w:r>
            <w:r>
              <w:rPr>
                <w:rFonts w:cs="Mangal"/>
                <w:kern w:val="1"/>
                <w:sz w:val="20"/>
                <w:szCs w:val="20"/>
                <w:lang w:eastAsia="uk-UA" w:bidi="hi-IN"/>
              </w:rPr>
              <w:t>97</w:t>
            </w:r>
            <w:r w:rsidRPr="00895032">
              <w:rPr>
                <w:sz w:val="20"/>
                <w:szCs w:val="20"/>
                <w:lang w:eastAsia="uk-UA"/>
              </w:rPr>
              <w:t>.</w:t>
            </w:r>
          </w:p>
        </w:tc>
      </w:tr>
    </w:tbl>
    <w:p w:rsidR="006206D2" w:rsidRPr="00895032" w:rsidRDefault="006206D2" w:rsidP="00577D33">
      <w:pPr>
        <w:autoSpaceDE w:val="0"/>
        <w:autoSpaceDN w:val="0"/>
        <w:adjustRightInd w:val="0"/>
        <w:spacing w:after="0" w:line="240" w:lineRule="auto"/>
        <w:jc w:val="both"/>
        <w:rPr>
          <w:rFonts w:eastAsiaTheme="minorHAnsi"/>
          <w:sz w:val="20"/>
          <w:szCs w:val="20"/>
        </w:rPr>
      </w:pPr>
    </w:p>
    <w:tbl>
      <w:tblPr>
        <w:tblStyle w:val="51"/>
        <w:tblW w:w="9322" w:type="dxa"/>
        <w:tblBorders>
          <w:top w:val="none" w:sz="0" w:space="0" w:color="auto"/>
          <w:left w:val="none" w:sz="0" w:space="0" w:color="auto"/>
          <w:bottom w:val="dashSmallGap" w:sz="4" w:space="0" w:color="auto"/>
          <w:right w:val="none" w:sz="0" w:space="0" w:color="auto"/>
          <w:insideH w:val="dashSmallGap" w:sz="4" w:space="0" w:color="auto"/>
          <w:insideV w:val="dashed" w:sz="12" w:space="0" w:color="auto"/>
        </w:tblBorders>
        <w:tblLook w:val="04A0" w:firstRow="1" w:lastRow="0" w:firstColumn="1" w:lastColumn="0" w:noHBand="0" w:noVBand="1"/>
      </w:tblPr>
      <w:tblGrid>
        <w:gridCol w:w="9322"/>
      </w:tblGrid>
      <w:tr w:rsidR="006206D2" w:rsidRPr="00895032" w:rsidTr="003811B7">
        <w:tc>
          <w:tcPr>
            <w:tcW w:w="9322" w:type="dxa"/>
            <w:shd w:val="clear" w:color="auto" w:fill="BFBFBF" w:themeFill="background1" w:themeFillShade="BF"/>
          </w:tcPr>
          <w:p w:rsidR="006206D2" w:rsidRPr="00895032" w:rsidRDefault="006206D2" w:rsidP="00577D33">
            <w:pPr>
              <w:spacing w:before="100" w:after="100" w:line="240" w:lineRule="auto"/>
              <w:contextualSpacing/>
              <w:jc w:val="both"/>
              <w:rPr>
                <w:b/>
                <w:sz w:val="20"/>
                <w:szCs w:val="20"/>
                <w:lang w:eastAsia="uk-UA"/>
              </w:rPr>
            </w:pPr>
            <w:r w:rsidRPr="00895032">
              <w:rPr>
                <w:b/>
                <w:sz w:val="20"/>
                <w:szCs w:val="20"/>
                <w:lang w:eastAsia="uk-UA"/>
              </w:rPr>
              <w:t>Відомості про авторів</w:t>
            </w:r>
          </w:p>
        </w:tc>
      </w:tr>
      <w:tr w:rsidR="006206D2" w:rsidRPr="00895032" w:rsidTr="003811B7">
        <w:tc>
          <w:tcPr>
            <w:tcW w:w="9322" w:type="dxa"/>
          </w:tcPr>
          <w:p w:rsidR="006206D2" w:rsidRPr="00895032" w:rsidRDefault="006206D2" w:rsidP="00577D33">
            <w:pPr>
              <w:widowControl w:val="0"/>
              <w:tabs>
                <w:tab w:val="left" w:pos="1276"/>
              </w:tabs>
              <w:autoSpaceDE w:val="0"/>
              <w:autoSpaceDN w:val="0"/>
              <w:spacing w:after="0" w:line="240" w:lineRule="auto"/>
              <w:contextualSpacing/>
              <w:jc w:val="both"/>
              <w:rPr>
                <w:color w:val="0563C1" w:themeColor="hyperlink"/>
                <w:sz w:val="20"/>
                <w:szCs w:val="20"/>
                <w:u w:val="single"/>
                <w:lang w:eastAsia="uk-UA"/>
              </w:rPr>
            </w:pPr>
            <w:r w:rsidRPr="00895032">
              <w:rPr>
                <w:b/>
                <w:bCs/>
                <w:i/>
                <w:iCs/>
                <w:sz w:val="20"/>
                <w:szCs w:val="20"/>
                <w:lang w:eastAsia="uk-UA"/>
              </w:rPr>
              <w:t>Почтарьов Артем Сергійович</w:t>
            </w:r>
            <w:r w:rsidRPr="00895032">
              <w:rPr>
                <w:bCs/>
                <w:iCs/>
                <w:sz w:val="20"/>
                <w:szCs w:val="20"/>
                <w:lang w:eastAsia="uk-UA"/>
              </w:rPr>
              <w:t xml:space="preserve"> -</w:t>
            </w:r>
            <w:r w:rsidRPr="00895032">
              <w:rPr>
                <w:sz w:val="20"/>
                <w:szCs w:val="20"/>
                <w:lang w:eastAsia="uk-UA"/>
              </w:rPr>
              <w:t xml:space="preserve"> аспірант кафедри теорії і методики фізичного виховання Кам’янець-Подільського національного університету імені Івана Огієнка </w:t>
            </w:r>
            <w:hyperlink r:id="rId273" w:history="1">
              <w:r w:rsidRPr="00895032">
                <w:rPr>
                  <w:color w:val="0563C1" w:themeColor="hyperlink"/>
                  <w:sz w:val="20"/>
                  <w:szCs w:val="20"/>
                  <w:u w:val="single"/>
                  <w:lang w:eastAsia="uk-UA"/>
                </w:rPr>
                <w:t>https://orcid.org/0009-0006-1122-2778</w:t>
              </w:r>
            </w:hyperlink>
          </w:p>
          <w:p w:rsidR="006206D2" w:rsidRPr="00895032" w:rsidRDefault="006206D2" w:rsidP="00577D33">
            <w:pPr>
              <w:widowControl w:val="0"/>
              <w:tabs>
                <w:tab w:val="left" w:pos="1276"/>
              </w:tabs>
              <w:autoSpaceDE w:val="0"/>
              <w:autoSpaceDN w:val="0"/>
              <w:spacing w:after="0" w:line="240" w:lineRule="auto"/>
              <w:contextualSpacing/>
              <w:jc w:val="both"/>
              <w:rPr>
                <w:i/>
                <w:sz w:val="20"/>
                <w:szCs w:val="20"/>
                <w:lang w:eastAsia="uk-UA"/>
              </w:rPr>
            </w:pPr>
            <w:r w:rsidRPr="00895032">
              <w:rPr>
                <w:sz w:val="20"/>
                <w:szCs w:val="20"/>
                <w:lang w:eastAsia="uk-UA"/>
              </w:rPr>
              <w:t xml:space="preserve">e-mail: </w:t>
            </w:r>
            <w:hyperlink r:id="rId274" w:history="1">
              <w:r w:rsidRPr="00895032">
                <w:rPr>
                  <w:color w:val="0563C1" w:themeColor="hyperlink"/>
                  <w:sz w:val="20"/>
                  <w:szCs w:val="20"/>
                  <w:u w:val="single"/>
                  <w:lang w:val="en-US" w:eastAsia="uk-UA"/>
                </w:rPr>
                <w:t>sofkdf</w:t>
              </w:r>
              <w:r w:rsidRPr="00895032">
                <w:rPr>
                  <w:color w:val="0563C1" w:themeColor="hyperlink"/>
                  <w:sz w:val="20"/>
                  <w:szCs w:val="20"/>
                  <w:u w:val="single"/>
                  <w:lang w:eastAsia="uk-UA"/>
                </w:rPr>
                <w:t>23.</w:t>
              </w:r>
              <w:r w:rsidRPr="00895032">
                <w:rPr>
                  <w:color w:val="0563C1" w:themeColor="hyperlink"/>
                  <w:sz w:val="20"/>
                  <w:szCs w:val="20"/>
                  <w:u w:val="single"/>
                  <w:lang w:val="en-US" w:eastAsia="uk-UA"/>
                </w:rPr>
                <w:t>pochtarov</w:t>
              </w:r>
              <w:r w:rsidRPr="00895032">
                <w:rPr>
                  <w:color w:val="0563C1" w:themeColor="hyperlink"/>
                  <w:sz w:val="20"/>
                  <w:szCs w:val="20"/>
                  <w:u w:val="single"/>
                  <w:lang w:eastAsia="uk-UA"/>
                </w:rPr>
                <w:t>@</w:t>
              </w:r>
              <w:r w:rsidRPr="00895032">
                <w:rPr>
                  <w:color w:val="0563C1" w:themeColor="hyperlink"/>
                  <w:sz w:val="20"/>
                  <w:szCs w:val="20"/>
                  <w:u w:val="single"/>
                  <w:lang w:val="en-US" w:eastAsia="uk-UA"/>
                </w:rPr>
                <w:t>kpnu</w:t>
              </w:r>
              <w:r w:rsidRPr="00895032">
                <w:rPr>
                  <w:color w:val="0563C1" w:themeColor="hyperlink"/>
                  <w:sz w:val="20"/>
                  <w:szCs w:val="20"/>
                  <w:u w:val="single"/>
                  <w:lang w:eastAsia="uk-UA"/>
                </w:rPr>
                <w:t>.</w:t>
              </w:r>
              <w:r w:rsidRPr="00895032">
                <w:rPr>
                  <w:color w:val="0563C1" w:themeColor="hyperlink"/>
                  <w:sz w:val="20"/>
                  <w:szCs w:val="20"/>
                  <w:u w:val="single"/>
                  <w:lang w:val="en-US" w:eastAsia="uk-UA"/>
                </w:rPr>
                <w:t>edu</w:t>
              </w:r>
              <w:r w:rsidRPr="00895032">
                <w:rPr>
                  <w:color w:val="0563C1" w:themeColor="hyperlink"/>
                  <w:sz w:val="20"/>
                  <w:szCs w:val="20"/>
                  <w:u w:val="single"/>
                  <w:lang w:eastAsia="uk-UA"/>
                </w:rPr>
                <w:t>.</w:t>
              </w:r>
              <w:r w:rsidRPr="00895032">
                <w:rPr>
                  <w:color w:val="0563C1" w:themeColor="hyperlink"/>
                  <w:sz w:val="20"/>
                  <w:szCs w:val="20"/>
                  <w:u w:val="single"/>
                  <w:lang w:val="en-US" w:eastAsia="uk-UA"/>
                </w:rPr>
                <w:t>ua</w:t>
              </w:r>
            </w:hyperlink>
          </w:p>
        </w:tc>
      </w:tr>
      <w:tr w:rsidR="006206D2" w:rsidRPr="00895032" w:rsidTr="003811B7">
        <w:tc>
          <w:tcPr>
            <w:tcW w:w="9322" w:type="dxa"/>
          </w:tcPr>
          <w:p w:rsidR="006206D2" w:rsidRPr="00895032" w:rsidRDefault="006206D2" w:rsidP="00577D33">
            <w:pPr>
              <w:spacing w:after="0" w:line="240" w:lineRule="auto"/>
              <w:contextualSpacing/>
              <w:jc w:val="both"/>
              <w:rPr>
                <w:sz w:val="20"/>
                <w:szCs w:val="20"/>
                <w:lang w:eastAsia="uk-UA"/>
              </w:rPr>
            </w:pPr>
            <w:r w:rsidRPr="00895032">
              <w:rPr>
                <w:b/>
                <w:bCs/>
                <w:i/>
                <w:iCs/>
                <w:sz w:val="20"/>
                <w:szCs w:val="20"/>
                <w:lang w:eastAsia="uk-UA"/>
              </w:rPr>
              <w:t>Юрчишин Юрій Володимирович</w:t>
            </w:r>
            <w:r w:rsidRPr="00895032">
              <w:rPr>
                <w:bCs/>
                <w:iCs/>
                <w:sz w:val="20"/>
                <w:szCs w:val="20"/>
                <w:lang w:eastAsia="uk-UA"/>
              </w:rPr>
              <w:t xml:space="preserve"> -</w:t>
            </w:r>
            <w:r w:rsidRPr="00895032">
              <w:rPr>
                <w:sz w:val="20"/>
                <w:szCs w:val="20"/>
                <w:lang w:eastAsia="uk-UA"/>
              </w:rPr>
              <w:t xml:space="preserve"> кандидат наук з фізичного виховання та спорту, доцент, завідувач кафедри теорії і методики фізичного виховання Кам’янець-Подільського національного університету імені Івана Огієнка, </w:t>
            </w:r>
          </w:p>
          <w:p w:rsidR="006206D2" w:rsidRPr="00895032" w:rsidRDefault="003D6B4F" w:rsidP="00577D33">
            <w:pPr>
              <w:spacing w:after="0" w:line="240" w:lineRule="auto"/>
              <w:contextualSpacing/>
              <w:jc w:val="both"/>
              <w:rPr>
                <w:color w:val="0563C1" w:themeColor="hyperlink"/>
                <w:sz w:val="20"/>
                <w:szCs w:val="20"/>
                <w:u w:val="single"/>
                <w:lang w:eastAsia="uk-UA"/>
              </w:rPr>
            </w:pPr>
            <w:hyperlink r:id="rId275" w:history="1">
              <w:r w:rsidR="006206D2" w:rsidRPr="00895032">
                <w:rPr>
                  <w:color w:val="0563C1" w:themeColor="hyperlink"/>
                  <w:sz w:val="20"/>
                  <w:szCs w:val="20"/>
                  <w:u w:val="single"/>
                  <w:lang w:eastAsia="uk-UA"/>
                </w:rPr>
                <w:t>https://orcid.org/0000-0002-0404-9384</w:t>
              </w:r>
            </w:hyperlink>
          </w:p>
          <w:p w:rsidR="006206D2" w:rsidRPr="00895032" w:rsidRDefault="006206D2" w:rsidP="00577D33">
            <w:pPr>
              <w:spacing w:after="0" w:line="240" w:lineRule="auto"/>
              <w:contextualSpacing/>
              <w:jc w:val="both"/>
              <w:rPr>
                <w:kern w:val="1"/>
                <w:sz w:val="20"/>
                <w:szCs w:val="20"/>
                <w:lang w:eastAsia="uk-UA" w:bidi="hi-IN"/>
              </w:rPr>
            </w:pPr>
            <w:r w:rsidRPr="00895032">
              <w:rPr>
                <w:sz w:val="20"/>
                <w:szCs w:val="20"/>
                <w:lang w:eastAsia="uk-UA"/>
              </w:rPr>
              <w:t xml:space="preserve">e-mail: </w:t>
            </w:r>
            <w:hyperlink r:id="rId276" w:history="1">
              <w:r w:rsidRPr="00895032">
                <w:rPr>
                  <w:color w:val="0563C1" w:themeColor="hyperlink"/>
                  <w:sz w:val="20"/>
                  <w:szCs w:val="20"/>
                  <w:u w:val="single"/>
                  <w:lang w:val="en-US" w:eastAsia="uk-UA"/>
                </w:rPr>
                <w:t>yuriyyurchyshyn</w:t>
              </w:r>
              <w:r w:rsidRPr="00895032">
                <w:rPr>
                  <w:color w:val="0563C1" w:themeColor="hyperlink"/>
                  <w:sz w:val="20"/>
                  <w:szCs w:val="20"/>
                  <w:u w:val="single"/>
                  <w:lang w:eastAsia="uk-UA"/>
                </w:rPr>
                <w:t>@kpnu.edu.ua</w:t>
              </w:r>
            </w:hyperlink>
          </w:p>
        </w:tc>
      </w:tr>
    </w:tbl>
    <w:p w:rsidR="006206D2" w:rsidRPr="00895032" w:rsidRDefault="006206D2" w:rsidP="006206D2">
      <w:pPr>
        <w:widowControl w:val="0"/>
        <w:autoSpaceDE w:val="0"/>
        <w:autoSpaceDN w:val="0"/>
        <w:spacing w:after="0" w:line="240" w:lineRule="auto"/>
        <w:ind w:left="720"/>
        <w:contextualSpacing/>
        <w:rPr>
          <w:sz w:val="20"/>
          <w:szCs w:val="20"/>
        </w:rPr>
      </w:pPr>
    </w:p>
    <w:p w:rsidR="006206D2" w:rsidRPr="00895032" w:rsidRDefault="006206D2" w:rsidP="006206D2">
      <w:pPr>
        <w:widowControl w:val="0"/>
        <w:autoSpaceDE w:val="0"/>
        <w:autoSpaceDN w:val="0"/>
        <w:spacing w:after="0" w:line="240" w:lineRule="auto"/>
        <w:ind w:left="3544"/>
        <w:contextualSpacing/>
        <w:rPr>
          <w:sz w:val="20"/>
          <w:szCs w:val="20"/>
        </w:rPr>
      </w:pPr>
      <w:r w:rsidRPr="00895032">
        <w:rPr>
          <w:sz w:val="20"/>
          <w:szCs w:val="20"/>
        </w:rPr>
        <w:t>Дата першого надходження статті до видання: 29.05.2026</w:t>
      </w:r>
    </w:p>
    <w:p w:rsidR="006206D2" w:rsidRPr="00895032" w:rsidRDefault="006206D2" w:rsidP="006206D2">
      <w:pPr>
        <w:widowControl w:val="0"/>
        <w:autoSpaceDE w:val="0"/>
        <w:autoSpaceDN w:val="0"/>
        <w:spacing w:after="0" w:line="240" w:lineRule="auto"/>
        <w:ind w:left="3544"/>
        <w:contextualSpacing/>
        <w:rPr>
          <w:sz w:val="20"/>
          <w:szCs w:val="20"/>
        </w:rPr>
      </w:pPr>
      <w:r w:rsidRPr="00895032">
        <w:rPr>
          <w:sz w:val="20"/>
          <w:szCs w:val="20"/>
        </w:rPr>
        <w:t>Дата прийняття статті до друку після рецензування: 29.05.2026</w:t>
      </w:r>
    </w:p>
    <w:p w:rsidR="006206D2" w:rsidRPr="00895032" w:rsidRDefault="006206D2" w:rsidP="006206D2">
      <w:pPr>
        <w:widowControl w:val="0"/>
        <w:autoSpaceDE w:val="0"/>
        <w:autoSpaceDN w:val="0"/>
        <w:spacing w:after="0" w:line="240" w:lineRule="auto"/>
        <w:ind w:left="3544"/>
        <w:contextualSpacing/>
        <w:rPr>
          <w:sz w:val="24"/>
          <w:szCs w:val="24"/>
        </w:rPr>
      </w:pPr>
      <w:r w:rsidRPr="00895032">
        <w:rPr>
          <w:sz w:val="20"/>
          <w:szCs w:val="20"/>
        </w:rPr>
        <w:t>Дата публікації (оприлюднення) статті: 30.05.2026</w:t>
      </w:r>
    </w:p>
    <w:p w:rsidR="00A01BFE" w:rsidRPr="00C07F42" w:rsidRDefault="00A01BFE">
      <w:pPr>
        <w:spacing w:after="160" w:line="259" w:lineRule="auto"/>
        <w:rPr>
          <w:rFonts w:ascii="Calibri" w:hAnsi="Calibri"/>
          <w:sz w:val="24"/>
          <w:szCs w:val="24"/>
          <w:lang w:val="ru-RU"/>
        </w:rPr>
      </w:pPr>
      <w:r>
        <w:rPr>
          <w:sz w:val="24"/>
          <w:szCs w:val="24"/>
        </w:rPr>
        <w:br w:type="page"/>
      </w:r>
    </w:p>
    <w:p w:rsidR="00C07F42" w:rsidRDefault="00C07F42" w:rsidP="00C07F42">
      <w:pPr>
        <w:pStyle w:val="3"/>
        <w:ind w:left="656" w:right="511"/>
        <w:jc w:val="center"/>
        <w:rPr>
          <w:rFonts w:ascii="Times New Roman" w:hAnsi="Times New Roman" w:cs="Times New Roman"/>
          <w:color w:val="auto"/>
          <w:spacing w:val="-2"/>
        </w:rPr>
      </w:pPr>
    </w:p>
    <w:p w:rsidR="00C07F42" w:rsidRDefault="00C07F42" w:rsidP="00C07F42">
      <w:pPr>
        <w:pStyle w:val="3"/>
        <w:ind w:left="656" w:right="511"/>
        <w:jc w:val="center"/>
        <w:rPr>
          <w:rFonts w:ascii="Times New Roman" w:hAnsi="Times New Roman" w:cs="Times New Roman"/>
          <w:color w:val="auto"/>
          <w:spacing w:val="-2"/>
        </w:rPr>
      </w:pPr>
      <w:r w:rsidRPr="00193EC3">
        <w:rPr>
          <w:rFonts w:ascii="Times New Roman" w:hAnsi="Times New Roman" w:cs="Times New Roman"/>
          <w:color w:val="auto"/>
          <w:spacing w:val="-2"/>
        </w:rPr>
        <w:t>ЗМІСТ</w:t>
      </w:r>
    </w:p>
    <w:p w:rsidR="00B17843" w:rsidRPr="00B17843" w:rsidRDefault="00B17843" w:rsidP="00B17843"/>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673"/>
      </w:tblGrid>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1D20B2">
              <w:rPr>
                <w:bCs/>
                <w:sz w:val="24"/>
                <w:szCs w:val="24"/>
                <w:lang w:eastAsia="uk-UA"/>
              </w:rPr>
              <w:t>Олександр Петрачков.</w:t>
            </w:r>
            <w:r w:rsidRPr="001D20B2">
              <w:rPr>
                <w:sz w:val="24"/>
                <w:szCs w:val="24"/>
                <w:lang w:eastAsia="uk-UA"/>
              </w:rPr>
              <w:t xml:space="preserve"> СТРУКТУРА ТА ЗМІСТ МОДЕЛІ ФІЗИЧНОЇ ПІДГОТОВКИ ОФІЦЕРІВ ОПЕРАТИВНОГО РІВНЯ ЗБРОЙНИХ СИЛ УКРАЇНИ</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3</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65379F">
              <w:rPr>
                <w:bCs/>
                <w:sz w:val="24"/>
                <w:szCs w:val="24"/>
                <w:lang w:eastAsia="uk-UA"/>
              </w:rPr>
              <w:t>Орест Лойко, Оксана Матвейко, Віктор Букрєєв.</w:t>
            </w:r>
            <w:r w:rsidRPr="0065379F">
              <w:rPr>
                <w:sz w:val="24"/>
                <w:szCs w:val="24"/>
                <w:lang w:eastAsia="uk-UA"/>
              </w:rPr>
              <w:t xml:space="preserve"> </w:t>
            </w:r>
            <w:r w:rsidRPr="001D20B2">
              <w:rPr>
                <w:sz w:val="24"/>
                <w:szCs w:val="24"/>
                <w:lang w:eastAsia="uk-UA"/>
              </w:rPr>
              <w:t>ВПЛИВ ПРОГРАМИ САМОСТІЙНИХ ТРЕНУВАНЬ ТА РЕЙТИНГОВОЇ МОТИВАЦІЇ НА РЕЗУЛЬТАТИ ВИКОНАННЯ ВПРАВИ № 20 У КУРСАНТІВ ВИЩОГО ВІЙСЬКОВОГО НАВЧАЛЬНОГО ЗАКЛАДУ</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12</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1D20B2">
              <w:rPr>
                <w:bCs/>
                <w:sz w:val="24"/>
                <w:szCs w:val="24"/>
                <w:lang w:eastAsia="uk-UA"/>
              </w:rPr>
              <w:t>Пауліна Крефт.</w:t>
            </w:r>
            <w:r w:rsidRPr="001D20B2">
              <w:rPr>
                <w:sz w:val="24"/>
                <w:szCs w:val="24"/>
                <w:lang w:eastAsia="uk-UA"/>
              </w:rPr>
              <w:t xml:space="preserve"> ПОРІВНЯЛЬНИЙ БІОМЕХАНІЧНИЙ АНАЛІЗ ТЕХНІКИ УЖИТКОВОГО ПЛАВАННЯ КРОЛЕМ НА ГРУДЯХ МЕТОДОМ «ПОВНОГО ЗАНУРЕННЯ» ТА КЛАСИЧНИМ КРОЛЕМ</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24</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val="uk-UA" w:eastAsia="uk-UA"/>
              </w:rPr>
            </w:pPr>
            <w:r w:rsidRPr="001D20B2">
              <w:rPr>
                <w:bCs/>
                <w:sz w:val="24"/>
                <w:szCs w:val="24"/>
                <w:lang w:val="uk-UA" w:eastAsia="uk-UA"/>
              </w:rPr>
              <w:t>Євген Гончаренко, Дмитро Анікєєв, Олена Степанюк.</w:t>
            </w:r>
            <w:r w:rsidRPr="001D20B2">
              <w:rPr>
                <w:sz w:val="24"/>
                <w:szCs w:val="24"/>
                <w:lang w:val="uk-UA" w:eastAsia="uk-UA"/>
              </w:rPr>
              <w:t xml:space="preserve"> ПОРІВНЯЛЬНИЙ АНАЛІЗ ПІДХОДІВ ДО АНТИДОПІНГОВОЇ ОСВІТИ В АДАПТИВНОМУ СПОРТІ НА МАТЕРІАЛІ </w:t>
            </w:r>
            <w:r w:rsidRPr="0065379F">
              <w:rPr>
                <w:sz w:val="24"/>
                <w:szCs w:val="24"/>
                <w:lang w:eastAsia="uk-UA"/>
              </w:rPr>
              <w:t>IPC</w:t>
            </w:r>
            <w:r w:rsidRPr="001D20B2">
              <w:rPr>
                <w:sz w:val="24"/>
                <w:szCs w:val="24"/>
                <w:lang w:val="uk-UA" w:eastAsia="uk-UA"/>
              </w:rPr>
              <w:t xml:space="preserve">, </w:t>
            </w:r>
            <w:r w:rsidRPr="0065379F">
              <w:rPr>
                <w:sz w:val="24"/>
                <w:szCs w:val="24"/>
                <w:lang w:eastAsia="uk-UA"/>
              </w:rPr>
              <w:t>INAS</w:t>
            </w:r>
            <w:r w:rsidRPr="001D20B2">
              <w:rPr>
                <w:sz w:val="24"/>
                <w:szCs w:val="24"/>
                <w:lang w:val="uk-UA" w:eastAsia="uk-UA"/>
              </w:rPr>
              <w:t xml:space="preserve"> ТА </w:t>
            </w:r>
            <w:r w:rsidRPr="0065379F">
              <w:rPr>
                <w:sz w:val="24"/>
                <w:szCs w:val="24"/>
                <w:lang w:eastAsia="uk-UA"/>
              </w:rPr>
              <w:t>SPECIAL</w:t>
            </w:r>
            <w:r w:rsidRPr="001D20B2">
              <w:rPr>
                <w:sz w:val="24"/>
                <w:szCs w:val="24"/>
                <w:lang w:val="uk-UA" w:eastAsia="uk-UA"/>
              </w:rPr>
              <w:t xml:space="preserve"> </w:t>
            </w:r>
            <w:r w:rsidRPr="0065379F">
              <w:rPr>
                <w:sz w:val="24"/>
                <w:szCs w:val="24"/>
                <w:lang w:eastAsia="uk-UA"/>
              </w:rPr>
              <w:t>OLYMPICS</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30</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1D20B2">
              <w:rPr>
                <w:bCs/>
                <w:sz w:val="24"/>
                <w:szCs w:val="24"/>
                <w:lang w:eastAsia="uk-UA"/>
              </w:rPr>
              <w:t>Іванна Боднар, Тетяна Курчаба, Ярослав Тимчак.</w:t>
            </w:r>
            <w:r w:rsidRPr="001D20B2">
              <w:rPr>
                <w:sz w:val="24"/>
                <w:szCs w:val="24"/>
                <w:lang w:eastAsia="uk-UA"/>
              </w:rPr>
              <w:t xml:space="preserve"> РЕКРЕАЦІЙНИЙ, ОЗДОРОВЧИЙ ТА ОСВІТНІЙ ЕФЕКТ ЗАНЯТЬ ПЛАВАННЯМ У СТУДЕНТОК СКЕРОВАНИХ ДО СПЕЦІАЛЬНОЇ МЕДИЧНОЇ ГРУПИ</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39</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val="uk-UA" w:eastAsia="uk-UA"/>
              </w:rPr>
            </w:pPr>
            <w:r w:rsidRPr="00A1309E">
              <w:rPr>
                <w:bCs/>
                <w:sz w:val="24"/>
                <w:szCs w:val="24"/>
                <w:lang w:val="uk-UA" w:eastAsia="uk-UA"/>
              </w:rPr>
              <w:t>Володимир Омельяненко, Інна Омельяненко</w:t>
            </w:r>
            <w:r>
              <w:rPr>
                <w:bCs/>
                <w:sz w:val="24"/>
                <w:szCs w:val="24"/>
                <w:lang w:val="uk-UA" w:eastAsia="uk-UA"/>
              </w:rPr>
              <w:t xml:space="preserve">. </w:t>
            </w:r>
            <w:r w:rsidRPr="00A1309E">
              <w:rPr>
                <w:bCs/>
                <w:sz w:val="24"/>
                <w:szCs w:val="24"/>
                <w:lang w:val="uk-UA" w:eastAsia="uk-UA"/>
              </w:rPr>
              <w:t>РОЛЬ УЧИТЕЛЯ ФІЗИЧНОЇ КУЛЬТУРИ У ДОЗУВАННІ ФІЗИЧНИХ НАВАНТАЖЕНЬ ЗДОБУВАЧІВ БАЗОВОЇ СЕРЕДНЬОЇ ОСВІТИ</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47</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1D20B2">
              <w:rPr>
                <w:bCs/>
                <w:sz w:val="24"/>
                <w:szCs w:val="24"/>
                <w:lang w:eastAsia="uk-UA"/>
              </w:rPr>
              <w:t>Тимур Арабаджи, Анна Арабаджи, Тетяна Капустіна.</w:t>
            </w:r>
            <w:r w:rsidRPr="001D20B2">
              <w:rPr>
                <w:sz w:val="24"/>
                <w:szCs w:val="24"/>
                <w:lang w:eastAsia="uk-UA"/>
              </w:rPr>
              <w:t xml:space="preserve"> ФІТНЕС-ТЕХНОЛОГІЇ ЯК ІНСТРУМЕНТ ОРГАНІЗАЦІЇ ФІЗИЧНОЇ РЕКРЕАЦІЇ РІЗНИХ ГРУП НАСЕЛЕННЯ</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55</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1D20B2">
              <w:rPr>
                <w:bCs/>
                <w:sz w:val="24"/>
                <w:szCs w:val="24"/>
                <w:lang w:eastAsia="uk-UA"/>
              </w:rPr>
              <w:t>Лариса Сливка.</w:t>
            </w:r>
            <w:r w:rsidRPr="001D20B2">
              <w:rPr>
                <w:sz w:val="24"/>
                <w:szCs w:val="24"/>
                <w:lang w:eastAsia="uk-UA"/>
              </w:rPr>
              <w:t xml:space="preserve"> ПАРК ІМЕНІ ГЕНРИКА ЙОРДАНА У КРАКОВІ ЯК ОСЕРЕДОК ПОЗАШКІЛЬНОГО ФІЗИЧНОГО ВИХОВАННЯ ДІТЕЙ ТА ЮНАЦТВА НАПРИКІНЦІ ХІХ ‒ НА ПОЧАТКУ ХХ СТ.</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61</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eastAsia="uk-UA"/>
              </w:rPr>
            </w:pPr>
            <w:r w:rsidRPr="001D20B2">
              <w:rPr>
                <w:bCs/>
                <w:sz w:val="24"/>
                <w:szCs w:val="24"/>
                <w:lang w:eastAsia="uk-UA"/>
              </w:rPr>
              <w:t>Антон Гак, Ігор Фольварочний, Юньхуей Ву, Чен Лі.</w:t>
            </w:r>
            <w:r w:rsidRPr="001D20B2">
              <w:rPr>
                <w:sz w:val="24"/>
                <w:szCs w:val="24"/>
                <w:lang w:eastAsia="uk-UA"/>
              </w:rPr>
              <w:t xml:space="preserve"> ІНТЕГРАТИВНИЙ ПІДХІД ДО РОЗУМІННЯ ВНУТРІШНЬОЇ МОТИВАЦІЇ СПОРТСМЕНІВ</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69</w:t>
            </w:r>
          </w:p>
        </w:tc>
      </w:tr>
      <w:tr w:rsidR="008F4F34" w:rsidTr="003811B7">
        <w:tc>
          <w:tcPr>
            <w:tcW w:w="8613" w:type="dxa"/>
            <w:vAlign w:val="bottom"/>
          </w:tcPr>
          <w:p w:rsidR="008F4F34" w:rsidRPr="0065379F" w:rsidRDefault="008F4F34" w:rsidP="008F4F34">
            <w:pPr>
              <w:spacing w:before="120" w:after="0" w:line="240" w:lineRule="auto"/>
              <w:jc w:val="both"/>
              <w:rPr>
                <w:sz w:val="24"/>
                <w:szCs w:val="24"/>
                <w:lang w:eastAsia="uk-UA"/>
              </w:rPr>
            </w:pPr>
            <w:r w:rsidRPr="0065379F">
              <w:rPr>
                <w:bCs/>
                <w:sz w:val="24"/>
                <w:szCs w:val="24"/>
                <w:lang w:eastAsia="uk-UA"/>
              </w:rPr>
              <w:t>Дар’я Риженко.</w:t>
            </w:r>
            <w:r w:rsidRPr="0065379F">
              <w:rPr>
                <w:sz w:val="24"/>
                <w:szCs w:val="24"/>
                <w:lang w:eastAsia="uk-UA"/>
              </w:rPr>
              <w:t xml:space="preserve"> АНАЛІЗ ПРАВИЛЬНОСТІ ВИКОНАННЯ ТЕХНІЧНОГО ПРИЙОМУ "СПУСК СПОРТСМЕНА ІЗ НАРОЩУВАННЯМ СПУСКОВИХ ТА СТРАХУВАЛЬНИХ ВІРЬОВОК" У ПРАКТИЦІ СПОРТИВНОГО ТУРИЗМУ</w:t>
            </w:r>
          </w:p>
        </w:tc>
        <w:tc>
          <w:tcPr>
            <w:tcW w:w="673" w:type="dxa"/>
            <w:vAlign w:val="bottom"/>
          </w:tcPr>
          <w:p w:rsidR="008F4F34" w:rsidRPr="00E60CED" w:rsidRDefault="008F4F34" w:rsidP="008F4F34">
            <w:pPr>
              <w:pStyle w:val="TableParagraph"/>
              <w:spacing w:before="120"/>
              <w:ind w:left="0"/>
              <w:jc w:val="right"/>
              <w:rPr>
                <w:sz w:val="22"/>
                <w:szCs w:val="22"/>
              </w:rPr>
            </w:pPr>
            <w:r w:rsidRPr="00E60CED">
              <w:rPr>
                <w:sz w:val="22"/>
                <w:szCs w:val="22"/>
              </w:rPr>
              <w:t>84</w:t>
            </w:r>
          </w:p>
        </w:tc>
      </w:tr>
      <w:tr w:rsidR="008F4F34" w:rsidTr="003811B7">
        <w:tc>
          <w:tcPr>
            <w:tcW w:w="8613" w:type="dxa"/>
            <w:vAlign w:val="bottom"/>
          </w:tcPr>
          <w:p w:rsidR="008F4F34" w:rsidRPr="001D20B2" w:rsidRDefault="008F4F34" w:rsidP="008F4F34">
            <w:pPr>
              <w:spacing w:before="120" w:after="0" w:line="240" w:lineRule="auto"/>
              <w:jc w:val="both"/>
              <w:rPr>
                <w:sz w:val="24"/>
                <w:szCs w:val="24"/>
                <w:lang w:val="uk-UA" w:eastAsia="uk-UA"/>
              </w:rPr>
            </w:pPr>
            <w:r w:rsidRPr="001D20B2">
              <w:rPr>
                <w:bCs/>
                <w:sz w:val="24"/>
                <w:szCs w:val="24"/>
                <w:lang w:val="uk-UA" w:eastAsia="uk-UA"/>
              </w:rPr>
              <w:t>Артем Почтарьов, Юрій Юрчишин.</w:t>
            </w:r>
            <w:r w:rsidRPr="001D20B2">
              <w:rPr>
                <w:sz w:val="24"/>
                <w:szCs w:val="24"/>
                <w:lang w:val="uk-UA" w:eastAsia="uk-UA"/>
              </w:rPr>
              <w:t xml:space="preserve"> ЕФЕКТИВНІСТЬ ОРГАНІЗАЦІЙНО-ПЕДАГОГІЧНИХ УМОВ УДОСКОНАЛЕННЯ РУХОВИХ ЗДІБНОСТЕЙ ДІТЕЙ З ПОРУШЕННЯМИ СЛУХУ НА УРОКАХ ФІЗИЧНОЇ КУЛЬТУРИ ЗАСОБАМИ БАДМІНТОНУ</w:t>
            </w:r>
          </w:p>
        </w:tc>
        <w:tc>
          <w:tcPr>
            <w:tcW w:w="673" w:type="dxa"/>
            <w:vAlign w:val="bottom"/>
          </w:tcPr>
          <w:p w:rsidR="008F4F34" w:rsidRPr="006206D2" w:rsidRDefault="008F4F34" w:rsidP="008F4F34">
            <w:pPr>
              <w:pStyle w:val="TableParagraph"/>
              <w:spacing w:before="120"/>
              <w:ind w:left="0"/>
              <w:jc w:val="right"/>
              <w:rPr>
                <w:sz w:val="22"/>
                <w:szCs w:val="22"/>
                <w:lang w:val="uk-UA"/>
              </w:rPr>
            </w:pPr>
            <w:r>
              <w:rPr>
                <w:sz w:val="22"/>
                <w:szCs w:val="22"/>
                <w:lang w:val="uk-UA"/>
              </w:rPr>
              <w:t>90</w:t>
            </w:r>
          </w:p>
        </w:tc>
      </w:tr>
    </w:tbl>
    <w:p w:rsidR="00C07F42" w:rsidRDefault="00C07F42" w:rsidP="00C07F42">
      <w:r>
        <w:br w:type="page"/>
      </w:r>
    </w:p>
    <w:p w:rsidR="00791F50" w:rsidRDefault="00791F50" w:rsidP="00A01BFE">
      <w:pPr>
        <w:spacing w:before="100" w:beforeAutospacing="1" w:after="0" w:line="240" w:lineRule="auto"/>
        <w:outlineLvl w:val="2"/>
        <w:rPr>
          <w:b/>
          <w:bCs/>
          <w:color w:val="1F1F1F"/>
          <w:sz w:val="27"/>
          <w:szCs w:val="27"/>
          <w:lang w:eastAsia="uk-UA"/>
        </w:rPr>
      </w:pPr>
    </w:p>
    <w:p w:rsidR="00791F50" w:rsidRDefault="00791F50" w:rsidP="00791F50">
      <w:pPr>
        <w:spacing w:after="160" w:line="259" w:lineRule="auto"/>
        <w:jc w:val="center"/>
        <w:rPr>
          <w:spacing w:val="-2"/>
        </w:rPr>
      </w:pPr>
      <w:r w:rsidRPr="00CF1AAE">
        <w:rPr>
          <w:spacing w:val="-2"/>
          <w:lang w:val="en-US"/>
        </w:rPr>
        <w:t>CONTENTS</w:t>
      </w:r>
    </w:p>
    <w:p w:rsidR="00791F50" w:rsidRDefault="00791F50" w:rsidP="00791F50">
      <w:pPr>
        <w:spacing w:after="160" w:line="259" w:lineRule="auto"/>
        <w:jc w:val="center"/>
        <w:rPr>
          <w:spacing w:val="-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673"/>
      </w:tblGrid>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Oleksandr Petrachkov. STRUCTURE AND CONTENT OF THE PHYSICAL TRAINING MODEL OF OPERATIONAL-LEVEL OFFICERS OF THE ARMED FORCES OF UKRAINE</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3</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Orest Loiko, Oksana Matveyko, Viktor Bukreev. INFLUENCE OF AN INDEPENDENT TRAINING PROGRAM AND RATING-BASED MOTIVATION ON THE RESULTS OF PERFORMING EXERCISE NO. 20 IN CADETS OF A MILITARY EDUCATIONAL INSTITUTION</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12</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Paulinа Kreft. COMPARATIVE BIOMECHANICAL ANALYSIS OF RECREATIONAL FRONT CRAWL SWIMMING TECHNIQUE USING THE “TOTAL IMMERSION” METHOD AND CLASSICAL FRONT CRAWL</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24</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val="uk-UA" w:eastAsia="uk-UA"/>
              </w:rPr>
            </w:pPr>
            <w:r w:rsidRPr="00B17843">
              <w:rPr>
                <w:bCs/>
                <w:sz w:val="24"/>
                <w:szCs w:val="24"/>
                <w:lang w:eastAsia="uk-UA"/>
              </w:rPr>
              <w:t>Yevhen Goncharenko, Anikeev Dmytro, Olena Stepaniuk. COMPARATIVE ANALYSIS OF ANTI-DOPING EDUCATION APPROACHES IN ADAPTIVE SPORT: EVIDENCE FROM IPC, INAS AND SPECIAL OLYMPICS</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30</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Ivanna Bodnar, Tetiana Kurchaba, Yaroslav Tymchak. RECREATIONAL, HEALTH-ENHANCING, AND EDUCATIONAL EFFECTS OF SWIMMING CLASSES FOR FEMALE STUDENTS ASSIGNED TO A SPECIAL MEDICAL GROUP</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39</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val="uk-UA" w:eastAsia="uk-UA"/>
              </w:rPr>
            </w:pPr>
            <w:r w:rsidRPr="00B17843">
              <w:rPr>
                <w:bCs/>
                <w:sz w:val="24"/>
                <w:szCs w:val="24"/>
                <w:lang w:eastAsia="uk-UA"/>
              </w:rPr>
              <w:t>Volodymyr Omelyanenko, Inna Omelyanenko</w:t>
            </w:r>
            <w:r w:rsidRPr="00B17843">
              <w:rPr>
                <w:bCs/>
                <w:sz w:val="24"/>
                <w:szCs w:val="24"/>
                <w:lang w:val="uk-UA" w:eastAsia="uk-UA"/>
              </w:rPr>
              <w:t xml:space="preserve">. </w:t>
            </w:r>
            <w:r w:rsidRPr="00B17843">
              <w:rPr>
                <w:bCs/>
                <w:sz w:val="24"/>
                <w:szCs w:val="24"/>
                <w:lang w:eastAsia="uk-UA"/>
              </w:rPr>
              <w:t>THE ROLE OF THE PHYSICAL EDUCATION TEACHER IN DOSING PHYSICAL LOADS OF STUDENTS IN BASIC SECONDARY EDUCATION</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47</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Tymur Arabadzhy, Anna Arabadzhy, Tetiana Kapustina. FITNESS TECHNOLOGIES AS A TOOL FOR ORGANISING PHYSICAL RECREATION OF DIFFERENT POPULATION GROUPS</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55</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Larysa Slyvka. HENRYK JORDAN PARK IN KRAKOW AS A CENTER FOR EXTRACURRICULAR PHYSICAL EDUCATION FOR CHILDREN AND YOUTH IN THE LATE 19TH AND EARLY 20TH CENTURIES</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61</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Anton Gak, Igor Folvarochnyi, Yunkhuei Vu, Chen Li. AN INTEGRATIVE APPROACH TO UNDERSTANDING INTRINSIC MOTIVATION IN ATHLETES</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69</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eastAsia="uk-UA"/>
              </w:rPr>
            </w:pPr>
            <w:r w:rsidRPr="00B17843">
              <w:rPr>
                <w:bCs/>
                <w:sz w:val="24"/>
                <w:szCs w:val="24"/>
                <w:lang w:eastAsia="uk-UA"/>
              </w:rPr>
              <w:t>Daria Ryzhenko. ANALYSIS OF THE CORRECT EXECUTION OF THE 'ATHLETE'S DESCENT WITH THE EXTENSION OF RAPPEL AND BELAY ROPES' TECHNICAL MANEUVER IN SPORTS TOURISM PRACTICE</w:t>
            </w:r>
          </w:p>
        </w:tc>
        <w:tc>
          <w:tcPr>
            <w:tcW w:w="673" w:type="dxa"/>
            <w:vAlign w:val="bottom"/>
          </w:tcPr>
          <w:p w:rsidR="00B17843" w:rsidRPr="00B17843" w:rsidRDefault="00B17843" w:rsidP="00DA6CC0">
            <w:pPr>
              <w:pStyle w:val="TableParagraph"/>
              <w:spacing w:before="120"/>
              <w:ind w:left="0"/>
              <w:jc w:val="right"/>
              <w:rPr>
                <w:sz w:val="24"/>
                <w:szCs w:val="24"/>
              </w:rPr>
            </w:pPr>
            <w:r w:rsidRPr="00B17843">
              <w:rPr>
                <w:sz w:val="24"/>
                <w:szCs w:val="24"/>
              </w:rPr>
              <w:t>84</w:t>
            </w:r>
          </w:p>
        </w:tc>
      </w:tr>
      <w:tr w:rsidR="00B17843" w:rsidRPr="00B17843" w:rsidTr="003811B7">
        <w:tc>
          <w:tcPr>
            <w:tcW w:w="8613" w:type="dxa"/>
            <w:vAlign w:val="bottom"/>
          </w:tcPr>
          <w:p w:rsidR="00B17843" w:rsidRPr="00B17843" w:rsidRDefault="00B17843" w:rsidP="00DA6CC0">
            <w:pPr>
              <w:spacing w:before="120" w:after="0" w:line="240" w:lineRule="auto"/>
              <w:jc w:val="both"/>
              <w:rPr>
                <w:sz w:val="24"/>
                <w:szCs w:val="24"/>
                <w:lang w:val="uk-UA" w:eastAsia="uk-UA"/>
              </w:rPr>
            </w:pPr>
            <w:r w:rsidRPr="00B17843">
              <w:rPr>
                <w:bCs/>
                <w:sz w:val="24"/>
                <w:szCs w:val="24"/>
                <w:lang w:eastAsia="uk-UA"/>
              </w:rPr>
              <w:t>Artem Pochtarev, Yuriy Yurchyshyn. EFFECTIVENESS OF ORGANIZATIONAL AND PEDAGOGICAL CONDITIONS FOR IMPROVING THE MOTOR ABILITIES OF CHILDREN WITH HEARING IMPAIRMENTS DURING PHYSICAL EDUCATION CLASSES BY MEANS OF BADMINTON</w:t>
            </w:r>
          </w:p>
        </w:tc>
        <w:tc>
          <w:tcPr>
            <w:tcW w:w="673" w:type="dxa"/>
            <w:vAlign w:val="bottom"/>
          </w:tcPr>
          <w:p w:rsidR="00B17843" w:rsidRPr="00B17843" w:rsidRDefault="00B17843" w:rsidP="00DA6CC0">
            <w:pPr>
              <w:pStyle w:val="TableParagraph"/>
              <w:spacing w:before="120"/>
              <w:ind w:left="0"/>
              <w:jc w:val="right"/>
              <w:rPr>
                <w:sz w:val="24"/>
                <w:szCs w:val="24"/>
                <w:lang w:val="uk-UA"/>
              </w:rPr>
            </w:pPr>
            <w:r w:rsidRPr="00B17843">
              <w:rPr>
                <w:sz w:val="24"/>
                <w:szCs w:val="24"/>
                <w:lang w:val="uk-UA"/>
              </w:rPr>
              <w:t>90</w:t>
            </w:r>
          </w:p>
        </w:tc>
      </w:tr>
    </w:tbl>
    <w:p w:rsidR="00B17843" w:rsidRDefault="00B17843" w:rsidP="00791F50">
      <w:pPr>
        <w:spacing w:after="160" w:line="259" w:lineRule="auto"/>
        <w:jc w:val="center"/>
        <w:rPr>
          <w:spacing w:val="-2"/>
        </w:rPr>
      </w:pPr>
    </w:p>
    <w:p w:rsidR="001D20B2" w:rsidRDefault="001D20B2" w:rsidP="00791F50">
      <w:pPr>
        <w:widowControl w:val="0"/>
        <w:autoSpaceDE w:val="0"/>
        <w:autoSpaceDN w:val="0"/>
        <w:spacing w:after="480" w:line="240" w:lineRule="auto"/>
        <w:rPr>
          <w:bCs/>
          <w:sz w:val="24"/>
          <w:szCs w:val="24"/>
          <w:lang w:val="en-US" w:eastAsia="uk-UA"/>
        </w:rPr>
      </w:pPr>
    </w:p>
    <w:p w:rsidR="001D20B2" w:rsidRDefault="001D20B2">
      <w:pPr>
        <w:spacing w:after="160" w:line="259" w:lineRule="auto"/>
        <w:rPr>
          <w:bCs/>
          <w:sz w:val="24"/>
          <w:szCs w:val="24"/>
          <w:lang w:val="en-US" w:eastAsia="uk-UA"/>
        </w:rPr>
      </w:pPr>
      <w:r>
        <w:rPr>
          <w:bCs/>
          <w:sz w:val="24"/>
          <w:szCs w:val="24"/>
          <w:lang w:val="en-US" w:eastAsia="uk-UA"/>
        </w:rPr>
        <w:br w:type="page"/>
      </w:r>
    </w:p>
    <w:p w:rsidR="001D20B2" w:rsidRPr="00931A5A" w:rsidRDefault="001D20B2" w:rsidP="001D20B2">
      <w:pPr>
        <w:widowControl w:val="0"/>
        <w:autoSpaceDE w:val="0"/>
        <w:autoSpaceDN w:val="0"/>
        <w:spacing w:after="0" w:line="252" w:lineRule="exact"/>
        <w:ind w:right="280"/>
        <w:jc w:val="center"/>
        <w:rPr>
          <w:sz w:val="24"/>
          <w:szCs w:val="24"/>
        </w:rPr>
      </w:pPr>
      <w:r w:rsidRPr="00931A5A">
        <w:rPr>
          <w:spacing w:val="-2"/>
          <w:sz w:val="24"/>
          <w:szCs w:val="24"/>
        </w:rPr>
        <w:lastRenderedPageBreak/>
        <w:t>ВИМОГИ</w:t>
      </w:r>
    </w:p>
    <w:p w:rsidR="001D20B2" w:rsidRPr="00931A5A" w:rsidRDefault="001D20B2" w:rsidP="001D20B2">
      <w:pPr>
        <w:widowControl w:val="0"/>
        <w:autoSpaceDE w:val="0"/>
        <w:autoSpaceDN w:val="0"/>
        <w:spacing w:after="0" w:line="252" w:lineRule="exact"/>
        <w:ind w:left="126" w:right="410"/>
        <w:jc w:val="center"/>
        <w:rPr>
          <w:sz w:val="24"/>
          <w:szCs w:val="24"/>
        </w:rPr>
      </w:pPr>
      <w:r w:rsidRPr="00931A5A">
        <w:rPr>
          <w:sz w:val="24"/>
          <w:szCs w:val="24"/>
        </w:rPr>
        <w:t>до</w:t>
      </w:r>
      <w:r w:rsidRPr="00931A5A">
        <w:rPr>
          <w:spacing w:val="-6"/>
          <w:sz w:val="24"/>
          <w:szCs w:val="24"/>
        </w:rPr>
        <w:t xml:space="preserve"> </w:t>
      </w:r>
      <w:r w:rsidRPr="00931A5A">
        <w:rPr>
          <w:sz w:val="24"/>
          <w:szCs w:val="24"/>
        </w:rPr>
        <w:t>подання</w:t>
      </w:r>
      <w:r w:rsidRPr="00931A5A">
        <w:rPr>
          <w:spacing w:val="-6"/>
          <w:sz w:val="24"/>
          <w:szCs w:val="24"/>
        </w:rPr>
        <w:t xml:space="preserve"> </w:t>
      </w:r>
      <w:r w:rsidRPr="00931A5A">
        <w:rPr>
          <w:sz w:val="24"/>
          <w:szCs w:val="24"/>
        </w:rPr>
        <w:t>статей</w:t>
      </w:r>
      <w:r w:rsidRPr="00931A5A">
        <w:rPr>
          <w:spacing w:val="-6"/>
          <w:sz w:val="24"/>
          <w:szCs w:val="24"/>
        </w:rPr>
        <w:t xml:space="preserve"> </w:t>
      </w:r>
      <w:r w:rsidRPr="00931A5A">
        <w:rPr>
          <w:sz w:val="24"/>
          <w:szCs w:val="24"/>
        </w:rPr>
        <w:t>у</w:t>
      </w:r>
      <w:r w:rsidRPr="00931A5A">
        <w:rPr>
          <w:spacing w:val="-7"/>
          <w:sz w:val="24"/>
          <w:szCs w:val="24"/>
        </w:rPr>
        <w:t xml:space="preserve"> </w:t>
      </w:r>
      <w:r w:rsidRPr="00931A5A">
        <w:rPr>
          <w:sz w:val="24"/>
          <w:szCs w:val="24"/>
        </w:rPr>
        <w:t>Віснику</w:t>
      </w:r>
      <w:r w:rsidRPr="00931A5A">
        <w:rPr>
          <w:spacing w:val="-6"/>
          <w:sz w:val="24"/>
          <w:szCs w:val="24"/>
        </w:rPr>
        <w:t xml:space="preserve"> </w:t>
      </w:r>
      <w:r w:rsidRPr="00931A5A">
        <w:rPr>
          <w:sz w:val="24"/>
          <w:szCs w:val="24"/>
        </w:rPr>
        <w:t>Прикарпатського</w:t>
      </w:r>
      <w:r w:rsidRPr="00931A5A">
        <w:rPr>
          <w:spacing w:val="-7"/>
          <w:sz w:val="24"/>
          <w:szCs w:val="24"/>
        </w:rPr>
        <w:t xml:space="preserve"> </w:t>
      </w:r>
      <w:r w:rsidRPr="00931A5A">
        <w:rPr>
          <w:spacing w:val="-2"/>
          <w:sz w:val="24"/>
          <w:szCs w:val="24"/>
        </w:rPr>
        <w:t>університету.</w:t>
      </w:r>
    </w:p>
    <w:p w:rsidR="001D20B2" w:rsidRDefault="001D20B2" w:rsidP="001D20B2">
      <w:pPr>
        <w:widowControl w:val="0"/>
        <w:autoSpaceDE w:val="0"/>
        <w:autoSpaceDN w:val="0"/>
        <w:spacing w:before="1" w:after="0" w:line="240" w:lineRule="auto"/>
        <w:ind w:left="2073" w:right="2352"/>
        <w:jc w:val="center"/>
        <w:rPr>
          <w:spacing w:val="-2"/>
          <w:sz w:val="24"/>
          <w:szCs w:val="24"/>
        </w:rPr>
      </w:pPr>
      <w:r w:rsidRPr="00931A5A">
        <w:rPr>
          <w:sz w:val="24"/>
          <w:szCs w:val="24"/>
        </w:rPr>
        <w:t>Серія:</w:t>
      </w:r>
      <w:r w:rsidRPr="00931A5A">
        <w:rPr>
          <w:spacing w:val="-4"/>
          <w:sz w:val="24"/>
          <w:szCs w:val="24"/>
        </w:rPr>
        <w:t xml:space="preserve"> </w:t>
      </w:r>
      <w:r w:rsidRPr="00931A5A">
        <w:rPr>
          <w:sz w:val="24"/>
          <w:szCs w:val="24"/>
        </w:rPr>
        <w:t>Фізична</w:t>
      </w:r>
      <w:r w:rsidRPr="00931A5A">
        <w:rPr>
          <w:spacing w:val="-5"/>
          <w:sz w:val="24"/>
          <w:szCs w:val="24"/>
        </w:rPr>
        <w:t xml:space="preserve"> </w:t>
      </w:r>
      <w:r w:rsidRPr="00931A5A">
        <w:rPr>
          <w:spacing w:val="-2"/>
          <w:sz w:val="24"/>
          <w:szCs w:val="24"/>
        </w:rPr>
        <w:t>культура.</w:t>
      </w:r>
    </w:p>
    <w:p w:rsidR="001D20B2" w:rsidRPr="00931A5A" w:rsidRDefault="001D20B2" w:rsidP="001D20B2">
      <w:pPr>
        <w:widowControl w:val="0"/>
        <w:autoSpaceDE w:val="0"/>
        <w:autoSpaceDN w:val="0"/>
        <w:spacing w:before="1" w:after="0" w:line="240" w:lineRule="auto"/>
        <w:ind w:left="2073" w:right="2352"/>
        <w:jc w:val="center"/>
        <w:rPr>
          <w:sz w:val="24"/>
          <w:szCs w:val="24"/>
        </w:rPr>
      </w:pPr>
    </w:p>
    <w:p w:rsidR="001D20B2" w:rsidRPr="001D20B2"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lang w:val="uk-UA"/>
        </w:rPr>
      </w:pPr>
      <w:r w:rsidRPr="001D20B2">
        <w:rPr>
          <w:sz w:val="22"/>
          <w:szCs w:val="21"/>
          <w:lang w:val="uk-UA"/>
        </w:rPr>
        <w:t>Обсяг оригінальної статті – 8 і більше сторінок; оглядової статті – 15</w:t>
      </w:r>
      <w:r w:rsidR="00B17843">
        <w:rPr>
          <w:sz w:val="22"/>
          <w:szCs w:val="21"/>
          <w:lang w:val="uk-UA"/>
        </w:rPr>
        <w:t>–</w:t>
      </w:r>
      <w:r w:rsidRPr="001D20B2">
        <w:rPr>
          <w:sz w:val="22"/>
          <w:szCs w:val="21"/>
          <w:lang w:val="uk-UA"/>
        </w:rPr>
        <w:t>25 сторінок.</w:t>
      </w:r>
    </w:p>
    <w:p w:rsidR="001D20B2" w:rsidRPr="00234D35"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rPr>
      </w:pPr>
      <w:r w:rsidRPr="001D20B2">
        <w:rPr>
          <w:sz w:val="22"/>
          <w:szCs w:val="21"/>
          <w:lang w:val="ru-RU"/>
        </w:rPr>
        <w:t xml:space="preserve">Статті подаються у форматі </w:t>
      </w:r>
      <w:r w:rsidRPr="00234D35">
        <w:rPr>
          <w:sz w:val="22"/>
          <w:szCs w:val="21"/>
        </w:rPr>
        <w:t>Microsoft</w:t>
      </w:r>
      <w:r w:rsidRPr="001D20B2">
        <w:rPr>
          <w:sz w:val="22"/>
          <w:szCs w:val="21"/>
          <w:lang w:val="ru-RU"/>
        </w:rPr>
        <w:t xml:space="preserve"> </w:t>
      </w:r>
      <w:r w:rsidRPr="00234D35">
        <w:rPr>
          <w:sz w:val="22"/>
          <w:szCs w:val="21"/>
        </w:rPr>
        <w:t>Word</w:t>
      </w:r>
      <w:r w:rsidRPr="001D20B2">
        <w:rPr>
          <w:sz w:val="22"/>
          <w:szCs w:val="21"/>
          <w:lang w:val="ru-RU"/>
        </w:rPr>
        <w:t xml:space="preserve">. Назва файлу латинськими буквами повинна відповідати прізвищу першого автора. </w:t>
      </w:r>
      <w:r w:rsidRPr="00234D35">
        <w:rPr>
          <w:sz w:val="22"/>
          <w:szCs w:val="21"/>
        </w:rPr>
        <w:t>Матеріал статті повинен міститися в одному файлі.</w:t>
      </w:r>
    </w:p>
    <w:p w:rsidR="001D20B2" w:rsidRPr="00234D35"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rPr>
      </w:pPr>
      <w:r w:rsidRPr="00234D35">
        <w:rPr>
          <w:sz w:val="22"/>
          <w:szCs w:val="21"/>
        </w:rPr>
        <w:t>Текст статті має бути набраним через 1,5 інтервалу, шрифт “Times New Roman”, кегль 14, поля верхнє-нижнє – 20 мм, ліве-праве 25 мм.</w:t>
      </w:r>
    </w:p>
    <w:p w:rsidR="001D20B2" w:rsidRPr="00234D35"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rPr>
      </w:pPr>
      <w:r w:rsidRPr="001D20B2">
        <w:rPr>
          <w:sz w:val="22"/>
          <w:szCs w:val="21"/>
          <w:lang w:val="ru-RU"/>
        </w:rPr>
        <w:t xml:space="preserve">Таблиці мають бути побудовані за допомогою майстра таблиць редактора </w:t>
      </w:r>
      <w:r w:rsidRPr="00234D35">
        <w:rPr>
          <w:sz w:val="22"/>
          <w:szCs w:val="21"/>
        </w:rPr>
        <w:t>Microsoft</w:t>
      </w:r>
      <w:r w:rsidRPr="001D20B2">
        <w:rPr>
          <w:sz w:val="22"/>
          <w:szCs w:val="21"/>
          <w:lang w:val="ru-RU"/>
        </w:rPr>
        <w:t xml:space="preserve"> </w:t>
      </w:r>
      <w:r w:rsidRPr="00234D35">
        <w:rPr>
          <w:sz w:val="22"/>
          <w:szCs w:val="21"/>
        </w:rPr>
        <w:t>Word</w:t>
      </w:r>
      <w:r w:rsidRPr="001D20B2">
        <w:rPr>
          <w:sz w:val="22"/>
          <w:szCs w:val="21"/>
          <w:lang w:val="ru-RU"/>
        </w:rPr>
        <w:t xml:space="preserve"> та відповідати стилю </w:t>
      </w:r>
      <w:r w:rsidRPr="00234D35">
        <w:rPr>
          <w:sz w:val="22"/>
          <w:szCs w:val="21"/>
        </w:rPr>
        <w:t>Vancouver.</w:t>
      </w:r>
    </w:p>
    <w:p w:rsidR="001D20B2" w:rsidRPr="00234D35"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rPr>
      </w:pPr>
      <w:r w:rsidRPr="00234D35">
        <w:rPr>
          <w:sz w:val="22"/>
          <w:szCs w:val="21"/>
        </w:rPr>
        <w:t>Діаграми, рисунки, схеми потрібно подавати з можливістю редагування у форматі Microsoft Word або у вигляді окремих файлів у форматах TIFF або JPG.</w:t>
      </w:r>
    </w:p>
    <w:p w:rsidR="001D20B2" w:rsidRPr="001D20B2"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lang w:val="ru-RU"/>
        </w:rPr>
      </w:pPr>
      <w:r w:rsidRPr="001D20B2">
        <w:rPr>
          <w:sz w:val="22"/>
          <w:szCs w:val="21"/>
          <w:lang w:val="ru-RU"/>
        </w:rPr>
        <w:t xml:space="preserve">Формули подавати у редакторі формул </w:t>
      </w:r>
      <w:r w:rsidRPr="00234D35">
        <w:rPr>
          <w:sz w:val="22"/>
          <w:szCs w:val="21"/>
        </w:rPr>
        <w:t>MS</w:t>
      </w:r>
      <w:r w:rsidRPr="001D20B2">
        <w:rPr>
          <w:sz w:val="22"/>
          <w:szCs w:val="21"/>
          <w:lang w:val="ru-RU"/>
        </w:rPr>
        <w:t xml:space="preserve"> </w:t>
      </w:r>
      <w:r w:rsidRPr="00234D35">
        <w:rPr>
          <w:sz w:val="22"/>
          <w:szCs w:val="21"/>
        </w:rPr>
        <w:t>Equation</w:t>
      </w:r>
    </w:p>
    <w:p w:rsidR="001D20B2" w:rsidRPr="001D20B2" w:rsidRDefault="001D20B2" w:rsidP="001D20B2">
      <w:pPr>
        <w:pStyle w:val="af4"/>
        <w:numPr>
          <w:ilvl w:val="1"/>
          <w:numId w:val="35"/>
        </w:numPr>
        <w:shd w:val="clear" w:color="auto" w:fill="FFFFFF"/>
        <w:tabs>
          <w:tab w:val="left" w:pos="567"/>
        </w:tabs>
        <w:spacing w:beforeAutospacing="0" w:afterAutospacing="0" w:line="240" w:lineRule="auto"/>
        <w:ind w:left="0"/>
        <w:jc w:val="both"/>
        <w:rPr>
          <w:sz w:val="22"/>
          <w:szCs w:val="21"/>
          <w:lang w:val="ru-RU"/>
        </w:rPr>
      </w:pPr>
      <w:r w:rsidRPr="001D20B2">
        <w:rPr>
          <w:sz w:val="22"/>
          <w:szCs w:val="21"/>
          <w:lang w:val="ru-RU"/>
        </w:rPr>
        <w:t>Текст статті має бути оформлений відповідно до Держстандарту й вимог МОН України.</w:t>
      </w:r>
    </w:p>
    <w:p w:rsidR="001D20B2" w:rsidRDefault="001D20B2" w:rsidP="001D20B2">
      <w:pPr>
        <w:widowControl w:val="0"/>
        <w:autoSpaceDE w:val="0"/>
        <w:autoSpaceDN w:val="0"/>
        <w:spacing w:after="0" w:line="250" w:lineRule="exact"/>
        <w:ind w:left="709" w:right="4" w:hanging="425"/>
        <w:jc w:val="both"/>
        <w:rPr>
          <w:i/>
          <w:sz w:val="24"/>
          <w:szCs w:val="24"/>
        </w:rPr>
      </w:pPr>
    </w:p>
    <w:p w:rsidR="001D20B2" w:rsidRPr="00931A5A" w:rsidRDefault="001D20B2" w:rsidP="001D20B2">
      <w:pPr>
        <w:widowControl w:val="0"/>
        <w:autoSpaceDE w:val="0"/>
        <w:autoSpaceDN w:val="0"/>
        <w:spacing w:after="0" w:line="250" w:lineRule="exact"/>
        <w:ind w:left="709" w:right="4" w:hanging="425"/>
        <w:jc w:val="both"/>
        <w:rPr>
          <w:i/>
          <w:sz w:val="24"/>
          <w:szCs w:val="24"/>
        </w:rPr>
      </w:pPr>
      <w:r w:rsidRPr="00931A5A">
        <w:rPr>
          <w:i/>
          <w:sz w:val="24"/>
          <w:szCs w:val="24"/>
        </w:rPr>
        <w:t>Статті</w:t>
      </w:r>
      <w:r w:rsidRPr="00931A5A">
        <w:rPr>
          <w:i/>
          <w:spacing w:val="-6"/>
          <w:sz w:val="24"/>
          <w:szCs w:val="24"/>
        </w:rPr>
        <w:t xml:space="preserve"> </w:t>
      </w:r>
      <w:r w:rsidRPr="00931A5A">
        <w:rPr>
          <w:i/>
          <w:sz w:val="24"/>
          <w:szCs w:val="24"/>
        </w:rPr>
        <w:t>пишуться</w:t>
      </w:r>
      <w:r w:rsidRPr="00931A5A">
        <w:rPr>
          <w:i/>
          <w:spacing w:val="-4"/>
          <w:sz w:val="24"/>
          <w:szCs w:val="24"/>
        </w:rPr>
        <w:t xml:space="preserve"> </w:t>
      </w:r>
      <w:r w:rsidRPr="00931A5A">
        <w:rPr>
          <w:i/>
          <w:sz w:val="24"/>
          <w:szCs w:val="24"/>
        </w:rPr>
        <w:t>за</w:t>
      </w:r>
      <w:r w:rsidRPr="00931A5A">
        <w:rPr>
          <w:i/>
          <w:spacing w:val="-3"/>
          <w:sz w:val="24"/>
          <w:szCs w:val="24"/>
        </w:rPr>
        <w:t xml:space="preserve"> </w:t>
      </w:r>
      <w:r w:rsidRPr="00931A5A">
        <w:rPr>
          <w:i/>
          <w:spacing w:val="-2"/>
          <w:sz w:val="24"/>
          <w:szCs w:val="24"/>
        </w:rPr>
        <w:t>схемою:</w:t>
      </w:r>
    </w:p>
    <w:p w:rsidR="001D20B2" w:rsidRPr="00234D35" w:rsidRDefault="001D20B2" w:rsidP="001D20B2">
      <w:pPr>
        <w:widowControl w:val="0"/>
        <w:numPr>
          <w:ilvl w:val="1"/>
          <w:numId w:val="37"/>
        </w:numPr>
        <w:autoSpaceDE w:val="0"/>
        <w:autoSpaceDN w:val="0"/>
        <w:spacing w:after="0" w:line="257" w:lineRule="exact"/>
        <w:ind w:left="709" w:right="4" w:hanging="425"/>
        <w:jc w:val="both"/>
        <w:rPr>
          <w:sz w:val="22"/>
          <w:szCs w:val="22"/>
        </w:rPr>
      </w:pPr>
      <w:r w:rsidRPr="00234D35">
        <w:rPr>
          <w:sz w:val="22"/>
          <w:szCs w:val="22"/>
        </w:rPr>
        <w:t>УДК</w:t>
      </w:r>
      <w:r w:rsidRPr="00234D35">
        <w:rPr>
          <w:spacing w:val="-4"/>
          <w:sz w:val="22"/>
          <w:szCs w:val="22"/>
        </w:rPr>
        <w:t xml:space="preserve"> </w:t>
      </w:r>
      <w:r w:rsidRPr="00234D35">
        <w:rPr>
          <w:sz w:val="22"/>
          <w:szCs w:val="22"/>
        </w:rPr>
        <w:t>(у</w:t>
      </w:r>
      <w:r w:rsidRPr="00234D35">
        <w:rPr>
          <w:spacing w:val="-4"/>
          <w:sz w:val="22"/>
          <w:szCs w:val="22"/>
        </w:rPr>
        <w:t xml:space="preserve"> </w:t>
      </w:r>
      <w:r w:rsidRPr="00234D35">
        <w:rPr>
          <w:sz w:val="22"/>
          <w:szCs w:val="22"/>
        </w:rPr>
        <w:t>лівому</w:t>
      </w:r>
      <w:r w:rsidRPr="00234D35">
        <w:rPr>
          <w:spacing w:val="-5"/>
          <w:sz w:val="22"/>
          <w:szCs w:val="22"/>
        </w:rPr>
        <w:t xml:space="preserve"> </w:t>
      </w:r>
      <w:r w:rsidRPr="00234D35">
        <w:rPr>
          <w:sz w:val="22"/>
          <w:szCs w:val="22"/>
        </w:rPr>
        <w:t>верхньому</w:t>
      </w:r>
      <w:r w:rsidRPr="00234D35">
        <w:rPr>
          <w:spacing w:val="-4"/>
          <w:sz w:val="22"/>
          <w:szCs w:val="22"/>
        </w:rPr>
        <w:t xml:space="preserve"> </w:t>
      </w:r>
      <w:r w:rsidRPr="00234D35">
        <w:rPr>
          <w:sz w:val="22"/>
          <w:szCs w:val="22"/>
        </w:rPr>
        <w:t>куті</w:t>
      </w:r>
      <w:r w:rsidRPr="00234D35">
        <w:rPr>
          <w:spacing w:val="-1"/>
          <w:sz w:val="22"/>
          <w:szCs w:val="22"/>
        </w:rPr>
        <w:t xml:space="preserve"> </w:t>
      </w:r>
      <w:r w:rsidRPr="00234D35">
        <w:rPr>
          <w:spacing w:val="-2"/>
          <w:sz w:val="22"/>
          <w:szCs w:val="22"/>
        </w:rPr>
        <w:t>аркуша).</w:t>
      </w:r>
    </w:p>
    <w:p w:rsidR="001D20B2" w:rsidRPr="00234D35" w:rsidRDefault="001D20B2" w:rsidP="001D20B2">
      <w:pPr>
        <w:widowControl w:val="0"/>
        <w:numPr>
          <w:ilvl w:val="1"/>
          <w:numId w:val="37"/>
        </w:numPr>
        <w:autoSpaceDE w:val="0"/>
        <w:autoSpaceDN w:val="0"/>
        <w:spacing w:after="0" w:line="253" w:lineRule="exact"/>
        <w:ind w:left="709" w:right="4" w:hanging="425"/>
        <w:jc w:val="both"/>
        <w:rPr>
          <w:sz w:val="22"/>
          <w:szCs w:val="22"/>
        </w:rPr>
      </w:pPr>
      <w:r w:rsidRPr="00234D35">
        <w:rPr>
          <w:sz w:val="22"/>
          <w:szCs w:val="22"/>
        </w:rPr>
        <w:t>Автор(и)</w:t>
      </w:r>
      <w:r w:rsidRPr="00234D35">
        <w:rPr>
          <w:spacing w:val="-10"/>
          <w:sz w:val="22"/>
          <w:szCs w:val="22"/>
        </w:rPr>
        <w:t xml:space="preserve"> </w:t>
      </w:r>
      <w:r w:rsidRPr="00234D35">
        <w:rPr>
          <w:sz w:val="22"/>
          <w:szCs w:val="22"/>
        </w:rPr>
        <w:t>(ім’я,</w:t>
      </w:r>
      <w:r w:rsidRPr="00234D35">
        <w:rPr>
          <w:spacing w:val="-5"/>
          <w:sz w:val="22"/>
          <w:szCs w:val="22"/>
        </w:rPr>
        <w:t xml:space="preserve"> </w:t>
      </w:r>
      <w:r w:rsidRPr="00234D35">
        <w:rPr>
          <w:sz w:val="22"/>
          <w:szCs w:val="22"/>
        </w:rPr>
        <w:t>прізвище,</w:t>
      </w:r>
      <w:r w:rsidRPr="00234D35">
        <w:rPr>
          <w:spacing w:val="-7"/>
          <w:sz w:val="22"/>
          <w:szCs w:val="22"/>
        </w:rPr>
        <w:t xml:space="preserve"> </w:t>
      </w:r>
      <w:r w:rsidRPr="00234D35">
        <w:rPr>
          <w:sz w:val="22"/>
          <w:szCs w:val="22"/>
        </w:rPr>
        <w:t>жирним</w:t>
      </w:r>
      <w:r w:rsidRPr="00234D35">
        <w:rPr>
          <w:spacing w:val="-7"/>
          <w:sz w:val="22"/>
          <w:szCs w:val="22"/>
        </w:rPr>
        <w:t xml:space="preserve"> </w:t>
      </w:r>
      <w:r w:rsidRPr="00234D35">
        <w:rPr>
          <w:sz w:val="22"/>
          <w:szCs w:val="22"/>
        </w:rPr>
        <w:t>шрифтом,</w:t>
      </w:r>
      <w:r w:rsidRPr="00234D35">
        <w:rPr>
          <w:spacing w:val="-8"/>
          <w:sz w:val="22"/>
          <w:szCs w:val="22"/>
        </w:rPr>
        <w:t xml:space="preserve"> </w:t>
      </w:r>
      <w:r w:rsidRPr="00234D35">
        <w:rPr>
          <w:sz w:val="22"/>
          <w:szCs w:val="22"/>
        </w:rPr>
        <w:t>курсивом</w:t>
      </w:r>
      <w:r w:rsidRPr="00234D35">
        <w:rPr>
          <w:spacing w:val="-5"/>
          <w:sz w:val="22"/>
          <w:szCs w:val="22"/>
        </w:rPr>
        <w:t xml:space="preserve"> </w:t>
      </w:r>
      <w:r w:rsidRPr="00234D35">
        <w:rPr>
          <w:sz w:val="22"/>
          <w:szCs w:val="22"/>
        </w:rPr>
        <w:t>у</w:t>
      </w:r>
      <w:r w:rsidRPr="00234D35">
        <w:rPr>
          <w:spacing w:val="-8"/>
          <w:sz w:val="22"/>
          <w:szCs w:val="22"/>
        </w:rPr>
        <w:t xml:space="preserve"> </w:t>
      </w:r>
      <w:r w:rsidRPr="00234D35">
        <w:rPr>
          <w:sz w:val="22"/>
          <w:szCs w:val="22"/>
        </w:rPr>
        <w:t>правому</w:t>
      </w:r>
      <w:r w:rsidRPr="00234D35">
        <w:rPr>
          <w:spacing w:val="-8"/>
          <w:sz w:val="22"/>
          <w:szCs w:val="22"/>
        </w:rPr>
        <w:t xml:space="preserve"> </w:t>
      </w:r>
      <w:r w:rsidRPr="00234D35">
        <w:rPr>
          <w:spacing w:val="-2"/>
          <w:sz w:val="22"/>
          <w:szCs w:val="22"/>
        </w:rPr>
        <w:t>куті).</w:t>
      </w:r>
    </w:p>
    <w:p w:rsidR="001D20B2" w:rsidRPr="00234D35" w:rsidRDefault="001D20B2" w:rsidP="001D20B2">
      <w:pPr>
        <w:widowControl w:val="0"/>
        <w:numPr>
          <w:ilvl w:val="1"/>
          <w:numId w:val="37"/>
        </w:numPr>
        <w:autoSpaceDE w:val="0"/>
        <w:autoSpaceDN w:val="0"/>
        <w:spacing w:after="0" w:line="252" w:lineRule="exact"/>
        <w:ind w:left="709" w:right="4" w:hanging="425"/>
        <w:jc w:val="both"/>
        <w:rPr>
          <w:sz w:val="22"/>
          <w:szCs w:val="22"/>
        </w:rPr>
      </w:pPr>
      <w:r w:rsidRPr="00234D35">
        <w:rPr>
          <w:sz w:val="22"/>
          <w:szCs w:val="22"/>
        </w:rPr>
        <w:t>Назва</w:t>
      </w:r>
      <w:r w:rsidRPr="00234D35">
        <w:rPr>
          <w:spacing w:val="-7"/>
          <w:sz w:val="22"/>
          <w:szCs w:val="22"/>
        </w:rPr>
        <w:t xml:space="preserve"> </w:t>
      </w:r>
      <w:r w:rsidRPr="00234D35">
        <w:rPr>
          <w:sz w:val="22"/>
          <w:szCs w:val="22"/>
        </w:rPr>
        <w:t>статті</w:t>
      </w:r>
      <w:r w:rsidRPr="00234D35">
        <w:rPr>
          <w:spacing w:val="-6"/>
          <w:sz w:val="22"/>
          <w:szCs w:val="22"/>
        </w:rPr>
        <w:t xml:space="preserve"> </w:t>
      </w:r>
      <w:r w:rsidRPr="00234D35">
        <w:rPr>
          <w:sz w:val="22"/>
          <w:szCs w:val="22"/>
        </w:rPr>
        <w:t>(заголовними</w:t>
      </w:r>
      <w:r w:rsidRPr="00234D35">
        <w:rPr>
          <w:spacing w:val="-7"/>
          <w:sz w:val="22"/>
          <w:szCs w:val="22"/>
        </w:rPr>
        <w:t xml:space="preserve"> </w:t>
      </w:r>
      <w:r w:rsidRPr="00234D35">
        <w:rPr>
          <w:sz w:val="22"/>
          <w:szCs w:val="22"/>
        </w:rPr>
        <w:t>буквами,</w:t>
      </w:r>
      <w:r w:rsidRPr="00234D35">
        <w:rPr>
          <w:spacing w:val="-7"/>
          <w:sz w:val="22"/>
          <w:szCs w:val="22"/>
        </w:rPr>
        <w:t xml:space="preserve"> </w:t>
      </w:r>
      <w:r w:rsidRPr="00234D35">
        <w:rPr>
          <w:sz w:val="22"/>
          <w:szCs w:val="22"/>
        </w:rPr>
        <w:t>жирним</w:t>
      </w:r>
      <w:r w:rsidRPr="00234D35">
        <w:rPr>
          <w:spacing w:val="-7"/>
          <w:sz w:val="22"/>
          <w:szCs w:val="22"/>
        </w:rPr>
        <w:t xml:space="preserve"> </w:t>
      </w:r>
      <w:r w:rsidRPr="00234D35">
        <w:rPr>
          <w:spacing w:val="-2"/>
          <w:sz w:val="22"/>
          <w:szCs w:val="22"/>
        </w:rPr>
        <w:t>шрифтом).</w:t>
      </w:r>
    </w:p>
    <w:p w:rsidR="001D20B2" w:rsidRPr="00234D35" w:rsidRDefault="001D20B2" w:rsidP="001D20B2">
      <w:pPr>
        <w:widowControl w:val="0"/>
        <w:numPr>
          <w:ilvl w:val="1"/>
          <w:numId w:val="37"/>
        </w:numPr>
        <w:autoSpaceDE w:val="0"/>
        <w:autoSpaceDN w:val="0"/>
        <w:spacing w:after="0" w:line="235" w:lineRule="auto"/>
        <w:ind w:left="709" w:right="4" w:hanging="425"/>
        <w:jc w:val="both"/>
        <w:rPr>
          <w:sz w:val="22"/>
          <w:szCs w:val="22"/>
        </w:rPr>
      </w:pPr>
      <w:r w:rsidRPr="00234D35">
        <w:rPr>
          <w:sz w:val="22"/>
          <w:szCs w:val="22"/>
        </w:rPr>
        <w:t>Резюме й ключові слова</w:t>
      </w:r>
      <w:r w:rsidRPr="00234D35">
        <w:rPr>
          <w:spacing w:val="-2"/>
          <w:sz w:val="22"/>
          <w:szCs w:val="22"/>
        </w:rPr>
        <w:t xml:space="preserve"> </w:t>
      </w:r>
      <w:r w:rsidRPr="00234D35">
        <w:rPr>
          <w:sz w:val="22"/>
          <w:szCs w:val="22"/>
        </w:rPr>
        <w:t xml:space="preserve">2-ма мовами (укр., англ.). Об’єм резюме ангглійською мовою не менш </w:t>
      </w:r>
      <w:r w:rsidRPr="00234D35">
        <w:rPr>
          <w:i/>
          <w:sz w:val="22"/>
          <w:szCs w:val="22"/>
        </w:rPr>
        <w:t>1800 символів</w:t>
      </w:r>
      <w:r w:rsidRPr="00234D35">
        <w:rPr>
          <w:sz w:val="22"/>
          <w:szCs w:val="22"/>
        </w:rPr>
        <w:t xml:space="preserve">, українською – </w:t>
      </w:r>
      <w:r w:rsidRPr="00234D35">
        <w:rPr>
          <w:i/>
          <w:sz w:val="22"/>
          <w:szCs w:val="22"/>
        </w:rPr>
        <w:t>800</w:t>
      </w:r>
      <w:r w:rsidRPr="00234D35">
        <w:rPr>
          <w:sz w:val="22"/>
          <w:szCs w:val="22"/>
        </w:rPr>
        <w:t>–</w:t>
      </w:r>
      <w:r w:rsidRPr="00234D35">
        <w:rPr>
          <w:i/>
          <w:sz w:val="22"/>
          <w:szCs w:val="22"/>
        </w:rPr>
        <w:t>1000 символів</w:t>
      </w:r>
      <w:r w:rsidRPr="00234D35">
        <w:rPr>
          <w:sz w:val="22"/>
          <w:szCs w:val="22"/>
        </w:rPr>
        <w:t>, структура – мета, матеріал і методи, результати, висновки.</w:t>
      </w:r>
    </w:p>
    <w:p w:rsidR="001D20B2" w:rsidRPr="00234D35" w:rsidRDefault="001D20B2" w:rsidP="001D20B2">
      <w:pPr>
        <w:widowControl w:val="0"/>
        <w:numPr>
          <w:ilvl w:val="1"/>
          <w:numId w:val="37"/>
        </w:numPr>
        <w:autoSpaceDE w:val="0"/>
        <w:autoSpaceDN w:val="0"/>
        <w:spacing w:before="2" w:after="0" w:line="235" w:lineRule="auto"/>
        <w:ind w:left="709" w:right="4" w:hanging="425"/>
        <w:jc w:val="both"/>
        <w:rPr>
          <w:sz w:val="22"/>
          <w:szCs w:val="22"/>
        </w:rPr>
      </w:pPr>
      <w:r w:rsidRPr="00234D35">
        <w:rPr>
          <w:sz w:val="22"/>
          <w:szCs w:val="22"/>
        </w:rPr>
        <w:t>Постановка проблеми й аналіз результатів останніх досліджень (висвітлюється зв’язок проблеми з важливими науковими чи практичними завданнями, у яких започатковано розв’язання цієї проблеми й на які опирається автор, виокремлення не вирішених раніше частин загальної проблеми, яким присвячується стаття.)</w:t>
      </w:r>
    </w:p>
    <w:p w:rsidR="001D20B2" w:rsidRPr="00234D35" w:rsidRDefault="001D20B2" w:rsidP="001D20B2">
      <w:pPr>
        <w:widowControl w:val="0"/>
        <w:numPr>
          <w:ilvl w:val="1"/>
          <w:numId w:val="37"/>
        </w:numPr>
        <w:autoSpaceDE w:val="0"/>
        <w:autoSpaceDN w:val="0"/>
        <w:spacing w:before="7" w:after="0" w:line="258" w:lineRule="exact"/>
        <w:ind w:left="709" w:right="4" w:hanging="425"/>
        <w:jc w:val="both"/>
        <w:rPr>
          <w:sz w:val="22"/>
          <w:szCs w:val="22"/>
        </w:rPr>
      </w:pPr>
      <w:r w:rsidRPr="00234D35">
        <w:rPr>
          <w:sz w:val="22"/>
          <w:szCs w:val="22"/>
        </w:rPr>
        <w:t>Мета</w:t>
      </w:r>
      <w:r w:rsidRPr="00234D35">
        <w:rPr>
          <w:spacing w:val="-3"/>
          <w:sz w:val="22"/>
          <w:szCs w:val="22"/>
        </w:rPr>
        <w:t xml:space="preserve"> </w:t>
      </w:r>
      <w:r w:rsidRPr="00234D35">
        <w:rPr>
          <w:spacing w:val="-2"/>
          <w:sz w:val="22"/>
          <w:szCs w:val="22"/>
        </w:rPr>
        <w:t>дослідження.</w:t>
      </w:r>
    </w:p>
    <w:p w:rsidR="001D20B2" w:rsidRPr="00234D35" w:rsidRDefault="001D20B2" w:rsidP="001D20B2">
      <w:pPr>
        <w:widowControl w:val="0"/>
        <w:numPr>
          <w:ilvl w:val="1"/>
          <w:numId w:val="37"/>
        </w:numPr>
        <w:autoSpaceDE w:val="0"/>
        <w:autoSpaceDN w:val="0"/>
        <w:spacing w:before="7" w:after="0" w:line="258" w:lineRule="exact"/>
        <w:ind w:left="709" w:right="4" w:hanging="425"/>
        <w:jc w:val="both"/>
        <w:rPr>
          <w:sz w:val="22"/>
          <w:szCs w:val="22"/>
        </w:rPr>
      </w:pPr>
      <w:r w:rsidRPr="00234D35">
        <w:rPr>
          <w:sz w:val="22"/>
          <w:szCs w:val="22"/>
        </w:rPr>
        <w:t>Методи</w:t>
      </w:r>
      <w:r w:rsidRPr="00234D35">
        <w:rPr>
          <w:spacing w:val="-5"/>
          <w:sz w:val="22"/>
          <w:szCs w:val="22"/>
        </w:rPr>
        <w:t xml:space="preserve"> </w:t>
      </w:r>
      <w:r w:rsidRPr="00234D35">
        <w:rPr>
          <w:sz w:val="22"/>
          <w:szCs w:val="22"/>
        </w:rPr>
        <w:t>й</w:t>
      </w:r>
      <w:r w:rsidRPr="00234D35">
        <w:rPr>
          <w:spacing w:val="-4"/>
          <w:sz w:val="22"/>
          <w:szCs w:val="22"/>
        </w:rPr>
        <w:t xml:space="preserve"> </w:t>
      </w:r>
      <w:r w:rsidRPr="00234D35">
        <w:rPr>
          <w:sz w:val="22"/>
          <w:szCs w:val="22"/>
        </w:rPr>
        <w:t>організація</w:t>
      </w:r>
      <w:r w:rsidRPr="00234D35">
        <w:rPr>
          <w:spacing w:val="-6"/>
          <w:sz w:val="22"/>
          <w:szCs w:val="22"/>
        </w:rPr>
        <w:t xml:space="preserve"> </w:t>
      </w:r>
      <w:r w:rsidRPr="00234D35">
        <w:rPr>
          <w:spacing w:val="-2"/>
          <w:sz w:val="22"/>
          <w:szCs w:val="22"/>
        </w:rPr>
        <w:t>дослідження.</w:t>
      </w:r>
    </w:p>
    <w:p w:rsidR="001D20B2" w:rsidRPr="00234D35" w:rsidRDefault="001D20B2" w:rsidP="001D20B2">
      <w:pPr>
        <w:widowControl w:val="0"/>
        <w:numPr>
          <w:ilvl w:val="1"/>
          <w:numId w:val="37"/>
        </w:numPr>
        <w:autoSpaceDE w:val="0"/>
        <w:autoSpaceDN w:val="0"/>
        <w:spacing w:after="0" w:line="256" w:lineRule="exact"/>
        <w:ind w:left="709" w:right="4" w:hanging="425"/>
        <w:jc w:val="both"/>
        <w:rPr>
          <w:sz w:val="22"/>
          <w:szCs w:val="22"/>
        </w:rPr>
      </w:pPr>
      <w:r w:rsidRPr="00234D35">
        <w:rPr>
          <w:sz w:val="22"/>
          <w:szCs w:val="22"/>
        </w:rPr>
        <w:t>Результати</w:t>
      </w:r>
      <w:r w:rsidRPr="00234D35">
        <w:rPr>
          <w:spacing w:val="-8"/>
          <w:sz w:val="22"/>
          <w:szCs w:val="22"/>
        </w:rPr>
        <w:t xml:space="preserve"> </w:t>
      </w:r>
      <w:r w:rsidRPr="00234D35">
        <w:rPr>
          <w:spacing w:val="-2"/>
          <w:sz w:val="22"/>
          <w:szCs w:val="22"/>
        </w:rPr>
        <w:t>дослідження.</w:t>
      </w:r>
    </w:p>
    <w:p w:rsidR="001D20B2" w:rsidRPr="00234D35" w:rsidRDefault="001D20B2" w:rsidP="001D20B2">
      <w:pPr>
        <w:widowControl w:val="0"/>
        <w:numPr>
          <w:ilvl w:val="1"/>
          <w:numId w:val="37"/>
        </w:numPr>
        <w:autoSpaceDE w:val="0"/>
        <w:autoSpaceDN w:val="0"/>
        <w:spacing w:after="0" w:line="251" w:lineRule="exact"/>
        <w:ind w:left="709" w:right="4" w:hanging="425"/>
        <w:jc w:val="both"/>
        <w:rPr>
          <w:sz w:val="22"/>
          <w:szCs w:val="22"/>
        </w:rPr>
      </w:pPr>
      <w:r w:rsidRPr="00234D35">
        <w:rPr>
          <w:spacing w:val="-2"/>
          <w:sz w:val="22"/>
          <w:szCs w:val="22"/>
        </w:rPr>
        <w:t>Дискусія.</w:t>
      </w:r>
    </w:p>
    <w:p w:rsidR="001D20B2" w:rsidRPr="00234D35" w:rsidRDefault="001D20B2" w:rsidP="001D20B2">
      <w:pPr>
        <w:widowControl w:val="0"/>
        <w:numPr>
          <w:ilvl w:val="1"/>
          <w:numId w:val="37"/>
        </w:numPr>
        <w:autoSpaceDE w:val="0"/>
        <w:autoSpaceDN w:val="0"/>
        <w:spacing w:after="0" w:line="250" w:lineRule="exact"/>
        <w:ind w:left="709" w:right="4" w:hanging="425"/>
        <w:jc w:val="both"/>
        <w:rPr>
          <w:sz w:val="22"/>
          <w:szCs w:val="22"/>
        </w:rPr>
      </w:pPr>
      <w:r w:rsidRPr="00234D35">
        <w:rPr>
          <w:sz w:val="22"/>
          <w:szCs w:val="22"/>
        </w:rPr>
        <w:t>Висновок(ки)</w:t>
      </w:r>
      <w:r w:rsidRPr="00234D35">
        <w:rPr>
          <w:spacing w:val="-5"/>
          <w:sz w:val="22"/>
          <w:szCs w:val="22"/>
        </w:rPr>
        <w:t xml:space="preserve"> </w:t>
      </w:r>
      <w:r w:rsidRPr="00234D35">
        <w:rPr>
          <w:sz w:val="22"/>
          <w:szCs w:val="22"/>
        </w:rPr>
        <w:t>з</w:t>
      </w:r>
      <w:r w:rsidRPr="00234D35">
        <w:rPr>
          <w:spacing w:val="-5"/>
          <w:sz w:val="22"/>
          <w:szCs w:val="22"/>
        </w:rPr>
        <w:t xml:space="preserve"> </w:t>
      </w:r>
      <w:r w:rsidRPr="00234D35">
        <w:rPr>
          <w:sz w:val="22"/>
          <w:szCs w:val="22"/>
        </w:rPr>
        <w:t>обґрунтуванням</w:t>
      </w:r>
      <w:r w:rsidRPr="00234D35">
        <w:rPr>
          <w:spacing w:val="-5"/>
          <w:sz w:val="22"/>
          <w:szCs w:val="22"/>
        </w:rPr>
        <w:t xml:space="preserve"> </w:t>
      </w:r>
      <w:r w:rsidRPr="00234D35">
        <w:rPr>
          <w:sz w:val="22"/>
          <w:szCs w:val="22"/>
        </w:rPr>
        <w:t>подальшого</w:t>
      </w:r>
      <w:r w:rsidRPr="00234D35">
        <w:rPr>
          <w:spacing w:val="-4"/>
          <w:sz w:val="22"/>
          <w:szCs w:val="22"/>
        </w:rPr>
        <w:t xml:space="preserve"> </w:t>
      </w:r>
      <w:r w:rsidRPr="00234D35">
        <w:rPr>
          <w:sz w:val="22"/>
          <w:szCs w:val="22"/>
        </w:rPr>
        <w:t>пошуку</w:t>
      </w:r>
      <w:r w:rsidRPr="00234D35">
        <w:rPr>
          <w:spacing w:val="-7"/>
          <w:sz w:val="22"/>
          <w:szCs w:val="22"/>
        </w:rPr>
        <w:t xml:space="preserve"> </w:t>
      </w:r>
      <w:r w:rsidRPr="00234D35">
        <w:rPr>
          <w:sz w:val="22"/>
          <w:szCs w:val="22"/>
        </w:rPr>
        <w:t>в</w:t>
      </w:r>
      <w:r w:rsidRPr="00234D35">
        <w:rPr>
          <w:spacing w:val="-5"/>
          <w:sz w:val="22"/>
          <w:szCs w:val="22"/>
        </w:rPr>
        <w:t xml:space="preserve"> </w:t>
      </w:r>
      <w:r w:rsidRPr="00234D35">
        <w:rPr>
          <w:sz w:val="22"/>
          <w:szCs w:val="22"/>
        </w:rPr>
        <w:t>цьому</w:t>
      </w:r>
      <w:r w:rsidRPr="00234D35">
        <w:rPr>
          <w:spacing w:val="-7"/>
          <w:sz w:val="22"/>
          <w:szCs w:val="22"/>
        </w:rPr>
        <w:t xml:space="preserve"> </w:t>
      </w:r>
      <w:r w:rsidRPr="00234D35">
        <w:rPr>
          <w:spacing w:val="-2"/>
          <w:sz w:val="22"/>
          <w:szCs w:val="22"/>
        </w:rPr>
        <w:t>напрямі.</w:t>
      </w:r>
    </w:p>
    <w:p w:rsidR="001D20B2" w:rsidRPr="00234D35" w:rsidRDefault="001D20B2" w:rsidP="001D20B2">
      <w:pPr>
        <w:widowControl w:val="0"/>
        <w:numPr>
          <w:ilvl w:val="1"/>
          <w:numId w:val="37"/>
        </w:numPr>
        <w:autoSpaceDE w:val="0"/>
        <w:autoSpaceDN w:val="0"/>
        <w:spacing w:after="0" w:line="250" w:lineRule="exact"/>
        <w:ind w:left="709" w:right="4" w:hanging="425"/>
        <w:jc w:val="both"/>
        <w:rPr>
          <w:sz w:val="22"/>
          <w:szCs w:val="22"/>
        </w:rPr>
      </w:pPr>
      <w:r w:rsidRPr="00234D35">
        <w:rPr>
          <w:spacing w:val="-2"/>
          <w:sz w:val="22"/>
          <w:szCs w:val="22"/>
        </w:rPr>
        <w:t>Подяки</w:t>
      </w:r>
      <w:r w:rsidR="00B17843">
        <w:rPr>
          <w:spacing w:val="-2"/>
          <w:sz w:val="22"/>
          <w:szCs w:val="22"/>
        </w:rPr>
        <w:t>.</w:t>
      </w:r>
    </w:p>
    <w:p w:rsidR="001D20B2" w:rsidRPr="00234D35" w:rsidRDefault="001D20B2" w:rsidP="001D20B2">
      <w:pPr>
        <w:widowControl w:val="0"/>
        <w:numPr>
          <w:ilvl w:val="1"/>
          <w:numId w:val="37"/>
        </w:numPr>
        <w:autoSpaceDE w:val="0"/>
        <w:autoSpaceDN w:val="0"/>
        <w:spacing w:after="0" w:line="250" w:lineRule="exact"/>
        <w:ind w:left="709" w:right="4" w:hanging="425"/>
        <w:jc w:val="both"/>
        <w:rPr>
          <w:sz w:val="22"/>
          <w:szCs w:val="22"/>
        </w:rPr>
      </w:pPr>
      <w:r w:rsidRPr="00234D35">
        <w:rPr>
          <w:spacing w:val="-2"/>
          <w:sz w:val="22"/>
          <w:szCs w:val="22"/>
        </w:rPr>
        <w:t>Конфлікт інтересів</w:t>
      </w:r>
      <w:r w:rsidR="00B17843">
        <w:rPr>
          <w:spacing w:val="-2"/>
          <w:sz w:val="22"/>
          <w:szCs w:val="22"/>
        </w:rPr>
        <w:t>.</w:t>
      </w:r>
    </w:p>
    <w:p w:rsidR="001D20B2" w:rsidRDefault="001D20B2" w:rsidP="001D20B2">
      <w:pPr>
        <w:widowControl w:val="0"/>
        <w:numPr>
          <w:ilvl w:val="1"/>
          <w:numId w:val="37"/>
        </w:numPr>
        <w:autoSpaceDE w:val="0"/>
        <w:autoSpaceDN w:val="0"/>
        <w:spacing w:before="1" w:after="0" w:line="230" w:lineRule="auto"/>
        <w:ind w:left="709" w:right="4" w:hanging="425"/>
        <w:jc w:val="both"/>
        <w:rPr>
          <w:sz w:val="22"/>
          <w:szCs w:val="22"/>
        </w:rPr>
      </w:pPr>
      <w:r w:rsidRPr="00234D35">
        <w:rPr>
          <w:sz w:val="22"/>
          <w:szCs w:val="22"/>
        </w:rPr>
        <w:t>Список використаних джерел (стилем Vancouver та оформлення пристатейної бібліографії латиницею (References)).</w:t>
      </w:r>
    </w:p>
    <w:p w:rsidR="001D20B2" w:rsidRPr="00234D35" w:rsidRDefault="001D20B2" w:rsidP="001D20B2">
      <w:pPr>
        <w:widowControl w:val="0"/>
        <w:autoSpaceDE w:val="0"/>
        <w:autoSpaceDN w:val="0"/>
        <w:spacing w:before="1" w:after="0" w:line="230" w:lineRule="auto"/>
        <w:ind w:left="709" w:right="4"/>
        <w:jc w:val="both"/>
        <w:rPr>
          <w:sz w:val="22"/>
          <w:szCs w:val="22"/>
        </w:rPr>
      </w:pPr>
    </w:p>
    <w:p w:rsidR="001D20B2" w:rsidRPr="00F8453E" w:rsidRDefault="001D20B2" w:rsidP="001D20B2">
      <w:pPr>
        <w:widowControl w:val="0"/>
        <w:numPr>
          <w:ilvl w:val="0"/>
          <w:numId w:val="36"/>
        </w:numPr>
        <w:autoSpaceDE w:val="0"/>
        <w:autoSpaceDN w:val="0"/>
        <w:spacing w:after="0" w:line="252" w:lineRule="exact"/>
        <w:ind w:left="567" w:right="4" w:hanging="566"/>
        <w:jc w:val="both"/>
        <w:rPr>
          <w:sz w:val="22"/>
          <w:szCs w:val="22"/>
        </w:rPr>
      </w:pPr>
      <w:r w:rsidRPr="00F8453E">
        <w:rPr>
          <w:sz w:val="22"/>
          <w:szCs w:val="22"/>
        </w:rPr>
        <w:t>Статті</w:t>
      </w:r>
      <w:r w:rsidRPr="00F8453E">
        <w:rPr>
          <w:spacing w:val="-6"/>
          <w:sz w:val="22"/>
          <w:szCs w:val="22"/>
        </w:rPr>
        <w:t xml:space="preserve"> </w:t>
      </w:r>
      <w:r w:rsidRPr="00F8453E">
        <w:rPr>
          <w:sz w:val="22"/>
          <w:szCs w:val="22"/>
        </w:rPr>
        <w:t>приймаються</w:t>
      </w:r>
      <w:r w:rsidRPr="00F8453E">
        <w:rPr>
          <w:spacing w:val="-5"/>
          <w:sz w:val="22"/>
          <w:szCs w:val="22"/>
        </w:rPr>
        <w:t xml:space="preserve"> </w:t>
      </w:r>
      <w:r w:rsidRPr="00F8453E">
        <w:rPr>
          <w:sz w:val="22"/>
          <w:szCs w:val="22"/>
        </w:rPr>
        <w:t>українською,</w:t>
      </w:r>
      <w:r w:rsidRPr="00F8453E">
        <w:rPr>
          <w:spacing w:val="-7"/>
          <w:sz w:val="22"/>
          <w:szCs w:val="22"/>
        </w:rPr>
        <w:t xml:space="preserve"> </w:t>
      </w:r>
      <w:r w:rsidRPr="00F8453E">
        <w:rPr>
          <w:sz w:val="22"/>
          <w:szCs w:val="22"/>
        </w:rPr>
        <w:t>англійською</w:t>
      </w:r>
      <w:r w:rsidRPr="00F8453E">
        <w:rPr>
          <w:spacing w:val="-5"/>
          <w:sz w:val="22"/>
          <w:szCs w:val="22"/>
        </w:rPr>
        <w:t xml:space="preserve"> та іншими </w:t>
      </w:r>
      <w:r w:rsidRPr="00F8453E">
        <w:rPr>
          <w:spacing w:val="-2"/>
          <w:sz w:val="22"/>
          <w:szCs w:val="22"/>
        </w:rPr>
        <w:t>мовами країн Євросоюзу.</w:t>
      </w:r>
    </w:p>
    <w:p w:rsidR="001D20B2" w:rsidRPr="00F8453E" w:rsidRDefault="001D20B2" w:rsidP="001D20B2">
      <w:pPr>
        <w:widowControl w:val="0"/>
        <w:numPr>
          <w:ilvl w:val="0"/>
          <w:numId w:val="36"/>
        </w:numPr>
        <w:autoSpaceDE w:val="0"/>
        <w:autoSpaceDN w:val="0"/>
        <w:spacing w:after="0" w:line="240" w:lineRule="auto"/>
        <w:ind w:left="567" w:right="4" w:hanging="566"/>
        <w:jc w:val="both"/>
        <w:rPr>
          <w:sz w:val="22"/>
          <w:szCs w:val="22"/>
        </w:rPr>
      </w:pPr>
      <w:r w:rsidRPr="00F8453E">
        <w:rPr>
          <w:sz w:val="22"/>
          <w:szCs w:val="22"/>
        </w:rPr>
        <w:t>Після рукопису навести: прізвище, ім’я, по батькові автора(ів), науковий ступінь, звання, посаду, номер ORCID; назву статті англійською мовою; контактний e-mail та телефон; повну назву й поштову адресу закладу вищої освіти.</w:t>
      </w:r>
    </w:p>
    <w:p w:rsidR="001D20B2" w:rsidRPr="00F8453E" w:rsidRDefault="001D20B2" w:rsidP="001D20B2">
      <w:pPr>
        <w:widowControl w:val="0"/>
        <w:numPr>
          <w:ilvl w:val="0"/>
          <w:numId w:val="36"/>
        </w:numPr>
        <w:autoSpaceDE w:val="0"/>
        <w:autoSpaceDN w:val="0"/>
        <w:spacing w:after="0" w:line="240" w:lineRule="auto"/>
        <w:ind w:left="567" w:right="4" w:hanging="566"/>
        <w:jc w:val="both"/>
        <w:rPr>
          <w:sz w:val="22"/>
          <w:szCs w:val="22"/>
        </w:rPr>
      </w:pPr>
      <w:r w:rsidRPr="00F8453E">
        <w:rPr>
          <w:sz w:val="22"/>
          <w:szCs w:val="22"/>
        </w:rPr>
        <w:t>У</w:t>
      </w:r>
      <w:r w:rsidRPr="00F8453E">
        <w:rPr>
          <w:spacing w:val="-2"/>
          <w:sz w:val="22"/>
          <w:szCs w:val="22"/>
        </w:rPr>
        <w:t xml:space="preserve"> </w:t>
      </w:r>
      <w:r w:rsidRPr="00F8453E">
        <w:rPr>
          <w:sz w:val="22"/>
          <w:szCs w:val="22"/>
        </w:rPr>
        <w:t>журналі друкуються</w:t>
      </w:r>
      <w:r w:rsidRPr="00F8453E">
        <w:rPr>
          <w:spacing w:val="-4"/>
          <w:sz w:val="22"/>
          <w:szCs w:val="22"/>
        </w:rPr>
        <w:t xml:space="preserve"> </w:t>
      </w:r>
      <w:r w:rsidRPr="00F8453E">
        <w:rPr>
          <w:sz w:val="22"/>
          <w:szCs w:val="22"/>
        </w:rPr>
        <w:t>статті,</w:t>
      </w:r>
      <w:r w:rsidRPr="00F8453E">
        <w:rPr>
          <w:spacing w:val="-1"/>
          <w:sz w:val="22"/>
          <w:szCs w:val="22"/>
        </w:rPr>
        <w:t xml:space="preserve"> </w:t>
      </w:r>
      <w:r w:rsidRPr="00F8453E">
        <w:rPr>
          <w:sz w:val="22"/>
          <w:szCs w:val="22"/>
        </w:rPr>
        <w:t>зміст</w:t>
      </w:r>
      <w:r w:rsidRPr="00F8453E">
        <w:rPr>
          <w:spacing w:val="-1"/>
          <w:sz w:val="22"/>
          <w:szCs w:val="22"/>
        </w:rPr>
        <w:t xml:space="preserve"> </w:t>
      </w:r>
      <w:r w:rsidRPr="00F8453E">
        <w:rPr>
          <w:sz w:val="22"/>
          <w:szCs w:val="22"/>
        </w:rPr>
        <w:t>яких</w:t>
      </w:r>
      <w:r w:rsidRPr="00F8453E">
        <w:rPr>
          <w:spacing w:val="-2"/>
          <w:sz w:val="22"/>
          <w:szCs w:val="22"/>
        </w:rPr>
        <w:t xml:space="preserve"> </w:t>
      </w:r>
      <w:r w:rsidRPr="00F8453E">
        <w:rPr>
          <w:sz w:val="22"/>
          <w:szCs w:val="22"/>
        </w:rPr>
        <w:t>відповідає</w:t>
      </w:r>
      <w:r w:rsidRPr="00F8453E">
        <w:rPr>
          <w:spacing w:val="-2"/>
          <w:sz w:val="22"/>
          <w:szCs w:val="22"/>
        </w:rPr>
        <w:t xml:space="preserve"> </w:t>
      </w:r>
      <w:r w:rsidRPr="00F8453E">
        <w:rPr>
          <w:sz w:val="22"/>
          <w:szCs w:val="22"/>
        </w:rPr>
        <w:t>дослідженням</w:t>
      </w:r>
      <w:r w:rsidRPr="00F8453E">
        <w:rPr>
          <w:spacing w:val="-4"/>
          <w:sz w:val="22"/>
          <w:szCs w:val="22"/>
        </w:rPr>
        <w:t xml:space="preserve"> у </w:t>
      </w:r>
      <w:r w:rsidRPr="00F8453E">
        <w:rPr>
          <w:sz w:val="22"/>
          <w:szCs w:val="22"/>
        </w:rPr>
        <w:t>галузі знань</w:t>
      </w:r>
      <w:r w:rsidRPr="00F8453E">
        <w:rPr>
          <w:spacing w:val="-2"/>
          <w:sz w:val="22"/>
          <w:szCs w:val="22"/>
        </w:rPr>
        <w:t xml:space="preserve"> А </w:t>
      </w:r>
      <w:r w:rsidRPr="00F8453E">
        <w:rPr>
          <w:sz w:val="22"/>
          <w:szCs w:val="22"/>
        </w:rPr>
        <w:t>Освіта спеціальностей: А4 Середня освіта (за предметними спеціальностями): А4.11 Фізична культура; А7 Фізична культура і спорт.</w:t>
      </w:r>
    </w:p>
    <w:p w:rsidR="001D20B2" w:rsidRPr="001D20B2" w:rsidRDefault="001D20B2" w:rsidP="001D20B2">
      <w:pPr>
        <w:pStyle w:val="af4"/>
        <w:numPr>
          <w:ilvl w:val="0"/>
          <w:numId w:val="36"/>
        </w:numPr>
        <w:shd w:val="clear" w:color="auto" w:fill="FFFFFF"/>
        <w:spacing w:before="100" w:after="100" w:line="240" w:lineRule="auto"/>
        <w:ind w:left="567" w:hanging="566"/>
        <w:jc w:val="both"/>
        <w:rPr>
          <w:sz w:val="22"/>
          <w:szCs w:val="22"/>
          <w:lang w:val="ru-RU"/>
        </w:rPr>
      </w:pPr>
      <w:r w:rsidRPr="001D20B2">
        <w:rPr>
          <w:sz w:val="22"/>
          <w:szCs w:val="22"/>
          <w:lang w:val="ru-RU"/>
        </w:rPr>
        <w:t xml:space="preserve">Подання рукописів здійснюється виключно через електронну систему журналу: </w:t>
      </w:r>
      <w:hyperlink r:id="rId277" w:history="1">
        <w:r w:rsidRPr="00F8453E">
          <w:rPr>
            <w:rStyle w:val="af3"/>
            <w:rFonts w:eastAsiaTheme="majorEastAsia"/>
            <w:color w:val="006798"/>
            <w:sz w:val="22"/>
            <w:szCs w:val="22"/>
          </w:rPr>
          <w:t>https</w:t>
        </w:r>
        <w:r w:rsidRPr="001D20B2">
          <w:rPr>
            <w:rStyle w:val="af3"/>
            <w:rFonts w:eastAsiaTheme="majorEastAsia"/>
            <w:color w:val="006798"/>
            <w:sz w:val="22"/>
            <w:szCs w:val="22"/>
            <w:lang w:val="ru-RU"/>
          </w:rPr>
          <w:t>://</w:t>
        </w:r>
        <w:r w:rsidRPr="00F8453E">
          <w:rPr>
            <w:rStyle w:val="af3"/>
            <w:rFonts w:eastAsiaTheme="majorEastAsia"/>
            <w:color w:val="006798"/>
            <w:sz w:val="22"/>
            <w:szCs w:val="22"/>
          </w:rPr>
          <w:t>journals</w:t>
        </w:r>
        <w:r w:rsidRPr="001D20B2">
          <w:rPr>
            <w:rStyle w:val="af3"/>
            <w:rFonts w:eastAsiaTheme="majorEastAsia"/>
            <w:color w:val="006798"/>
            <w:sz w:val="22"/>
            <w:szCs w:val="22"/>
            <w:lang w:val="ru-RU"/>
          </w:rPr>
          <w:t>.</w:t>
        </w:r>
        <w:r w:rsidRPr="00F8453E">
          <w:rPr>
            <w:rStyle w:val="af3"/>
            <w:rFonts w:eastAsiaTheme="majorEastAsia"/>
            <w:color w:val="006798"/>
            <w:sz w:val="22"/>
            <w:szCs w:val="22"/>
          </w:rPr>
          <w:t>pnu</w:t>
        </w:r>
        <w:r w:rsidRPr="001D20B2">
          <w:rPr>
            <w:rStyle w:val="af3"/>
            <w:rFonts w:eastAsiaTheme="majorEastAsia"/>
            <w:color w:val="006798"/>
            <w:sz w:val="22"/>
            <w:szCs w:val="22"/>
            <w:lang w:val="ru-RU"/>
          </w:rPr>
          <w:t>.</w:t>
        </w:r>
        <w:r w:rsidRPr="00F8453E">
          <w:rPr>
            <w:rStyle w:val="af3"/>
            <w:rFonts w:eastAsiaTheme="majorEastAsia"/>
            <w:color w:val="006798"/>
            <w:sz w:val="22"/>
            <w:szCs w:val="22"/>
          </w:rPr>
          <w:t>edu</w:t>
        </w:r>
        <w:r w:rsidRPr="001D20B2">
          <w:rPr>
            <w:rStyle w:val="af3"/>
            <w:rFonts w:eastAsiaTheme="majorEastAsia"/>
            <w:color w:val="006798"/>
            <w:sz w:val="22"/>
            <w:szCs w:val="22"/>
            <w:lang w:val="ru-RU"/>
          </w:rPr>
          <w:t>.</w:t>
        </w:r>
        <w:r w:rsidRPr="00F8453E">
          <w:rPr>
            <w:rStyle w:val="af3"/>
            <w:rFonts w:eastAsiaTheme="majorEastAsia"/>
            <w:color w:val="006798"/>
            <w:sz w:val="22"/>
            <w:szCs w:val="22"/>
          </w:rPr>
          <w:t>ua</w:t>
        </w:r>
        <w:r w:rsidRPr="001D20B2">
          <w:rPr>
            <w:rStyle w:val="af3"/>
            <w:rFonts w:eastAsiaTheme="majorEastAsia"/>
            <w:color w:val="006798"/>
            <w:sz w:val="22"/>
            <w:szCs w:val="22"/>
            <w:lang w:val="ru-RU"/>
          </w:rPr>
          <w:t>/</w:t>
        </w:r>
        <w:r w:rsidRPr="00F8453E">
          <w:rPr>
            <w:rStyle w:val="af3"/>
            <w:rFonts w:eastAsiaTheme="majorEastAsia"/>
            <w:color w:val="006798"/>
            <w:sz w:val="22"/>
            <w:szCs w:val="22"/>
          </w:rPr>
          <w:t>index</w:t>
        </w:r>
        <w:r w:rsidRPr="001D20B2">
          <w:rPr>
            <w:rStyle w:val="af3"/>
            <w:rFonts w:eastAsiaTheme="majorEastAsia"/>
            <w:color w:val="006798"/>
            <w:sz w:val="22"/>
            <w:szCs w:val="22"/>
            <w:lang w:val="ru-RU"/>
          </w:rPr>
          <w:t>.</w:t>
        </w:r>
        <w:r w:rsidRPr="00F8453E">
          <w:rPr>
            <w:rStyle w:val="af3"/>
            <w:rFonts w:eastAsiaTheme="majorEastAsia"/>
            <w:color w:val="006798"/>
            <w:sz w:val="22"/>
            <w:szCs w:val="22"/>
          </w:rPr>
          <w:t>php</w:t>
        </w:r>
        <w:r w:rsidRPr="001D20B2">
          <w:rPr>
            <w:rStyle w:val="af3"/>
            <w:rFonts w:eastAsiaTheme="majorEastAsia"/>
            <w:color w:val="006798"/>
            <w:sz w:val="22"/>
            <w:szCs w:val="22"/>
            <w:lang w:val="ru-RU"/>
          </w:rPr>
          <w:t>/</w:t>
        </w:r>
        <w:r w:rsidRPr="00F8453E">
          <w:rPr>
            <w:rStyle w:val="af3"/>
            <w:rFonts w:eastAsiaTheme="majorEastAsia"/>
            <w:color w:val="006798"/>
            <w:sz w:val="22"/>
            <w:szCs w:val="22"/>
          </w:rPr>
          <w:t>fcult</w:t>
        </w:r>
        <w:r w:rsidRPr="001D20B2">
          <w:rPr>
            <w:rStyle w:val="af3"/>
            <w:rFonts w:eastAsiaTheme="majorEastAsia"/>
            <w:color w:val="006798"/>
            <w:sz w:val="22"/>
            <w:szCs w:val="22"/>
            <w:lang w:val="ru-RU"/>
          </w:rPr>
          <w:t>/</w:t>
        </w:r>
        <w:r w:rsidRPr="00F8453E">
          <w:rPr>
            <w:rStyle w:val="af3"/>
            <w:rFonts w:eastAsiaTheme="majorEastAsia"/>
            <w:color w:val="006798"/>
            <w:sz w:val="22"/>
            <w:szCs w:val="22"/>
          </w:rPr>
          <w:t>about</w:t>
        </w:r>
        <w:r w:rsidRPr="001D20B2">
          <w:rPr>
            <w:rStyle w:val="af3"/>
            <w:rFonts w:eastAsiaTheme="majorEastAsia"/>
            <w:color w:val="006798"/>
            <w:sz w:val="22"/>
            <w:szCs w:val="22"/>
            <w:lang w:val="ru-RU"/>
          </w:rPr>
          <w:t>/</w:t>
        </w:r>
        <w:r w:rsidRPr="00F8453E">
          <w:rPr>
            <w:rStyle w:val="af3"/>
            <w:rFonts w:eastAsiaTheme="majorEastAsia"/>
            <w:color w:val="006798"/>
            <w:sz w:val="22"/>
            <w:szCs w:val="22"/>
          </w:rPr>
          <w:t>submissions</w:t>
        </w:r>
      </w:hyperlink>
      <w:r w:rsidRPr="001D20B2">
        <w:rPr>
          <w:sz w:val="22"/>
          <w:szCs w:val="22"/>
          <w:lang w:val="ru-RU"/>
        </w:rPr>
        <w:t>. Для того, щоб мати можливість подавати рукописи до нашого видання, автори повинні</w:t>
      </w:r>
      <w:r w:rsidRPr="00F8453E">
        <w:rPr>
          <w:sz w:val="22"/>
          <w:szCs w:val="22"/>
        </w:rPr>
        <w:t> </w:t>
      </w:r>
      <w:hyperlink r:id="rId278" w:history="1">
        <w:r w:rsidRPr="001D20B2">
          <w:rPr>
            <w:rStyle w:val="af3"/>
            <w:rFonts w:eastAsiaTheme="majorEastAsia"/>
            <w:color w:val="006798"/>
            <w:sz w:val="22"/>
            <w:szCs w:val="22"/>
            <w:lang w:val="ru-RU"/>
          </w:rPr>
          <w:t>зареєструватися</w:t>
        </w:r>
      </w:hyperlink>
      <w:r w:rsidRPr="00F8453E">
        <w:rPr>
          <w:sz w:val="22"/>
          <w:szCs w:val="22"/>
        </w:rPr>
        <w:t> </w:t>
      </w:r>
      <w:r w:rsidRPr="001D20B2">
        <w:rPr>
          <w:sz w:val="22"/>
          <w:szCs w:val="22"/>
          <w:lang w:val="ru-RU"/>
        </w:rPr>
        <w:t>на сайті журналу. Якщо Ви вже зареєстровані, просто</w:t>
      </w:r>
      <w:r w:rsidRPr="00F8453E">
        <w:rPr>
          <w:sz w:val="22"/>
          <w:szCs w:val="22"/>
        </w:rPr>
        <w:t> </w:t>
      </w:r>
      <w:hyperlink r:id="rId279" w:history="1">
        <w:r w:rsidRPr="001D20B2">
          <w:rPr>
            <w:rStyle w:val="af3"/>
            <w:rFonts w:eastAsiaTheme="majorEastAsia"/>
            <w:color w:val="006798"/>
            <w:sz w:val="22"/>
            <w:szCs w:val="22"/>
            <w:lang w:val="ru-RU"/>
          </w:rPr>
          <w:t>увійдіть на сайт</w:t>
        </w:r>
      </w:hyperlink>
      <w:r w:rsidRPr="00F8453E">
        <w:rPr>
          <w:sz w:val="22"/>
          <w:szCs w:val="22"/>
        </w:rPr>
        <w:t> </w:t>
      </w:r>
      <w:r w:rsidRPr="001D20B2">
        <w:rPr>
          <w:sz w:val="22"/>
          <w:szCs w:val="22"/>
          <w:lang w:val="ru-RU"/>
        </w:rPr>
        <w:t>та пройдіть 5 кроків подання рукопису на розгляд.</w:t>
      </w:r>
    </w:p>
    <w:p w:rsidR="001D20B2" w:rsidRPr="00931A5A" w:rsidRDefault="001D20B2" w:rsidP="001D20B2">
      <w:pPr>
        <w:widowControl w:val="0"/>
        <w:autoSpaceDE w:val="0"/>
        <w:autoSpaceDN w:val="0"/>
        <w:spacing w:before="6" w:after="0" w:line="250" w:lineRule="exact"/>
        <w:ind w:left="1004" w:right="4" w:hanging="720"/>
        <w:rPr>
          <w:sz w:val="24"/>
          <w:szCs w:val="24"/>
        </w:rPr>
      </w:pPr>
      <w:r w:rsidRPr="00931A5A">
        <w:rPr>
          <w:spacing w:val="-2"/>
          <w:sz w:val="24"/>
          <w:szCs w:val="24"/>
        </w:rPr>
        <w:t>Довідки:</w:t>
      </w:r>
    </w:p>
    <w:p w:rsidR="001D20B2" w:rsidRPr="00931A5A" w:rsidRDefault="001D20B2" w:rsidP="001D20B2">
      <w:pPr>
        <w:widowControl w:val="0"/>
        <w:autoSpaceDE w:val="0"/>
        <w:autoSpaceDN w:val="0"/>
        <w:spacing w:after="0" w:line="250" w:lineRule="exact"/>
        <w:ind w:left="1004" w:right="4" w:hanging="720"/>
        <w:rPr>
          <w:sz w:val="24"/>
          <w:szCs w:val="24"/>
        </w:rPr>
      </w:pPr>
      <w:r w:rsidRPr="00931A5A">
        <w:rPr>
          <w:sz w:val="24"/>
          <w:szCs w:val="24"/>
        </w:rPr>
        <w:t>тел.</w:t>
      </w:r>
      <w:r w:rsidRPr="00931A5A">
        <w:rPr>
          <w:spacing w:val="-7"/>
          <w:sz w:val="24"/>
          <w:szCs w:val="24"/>
        </w:rPr>
        <w:t xml:space="preserve"> </w:t>
      </w:r>
      <w:r w:rsidRPr="00931A5A">
        <w:rPr>
          <w:sz w:val="24"/>
          <w:szCs w:val="24"/>
        </w:rPr>
        <w:t>(0342)</w:t>
      </w:r>
      <w:r w:rsidRPr="00931A5A">
        <w:rPr>
          <w:spacing w:val="-6"/>
          <w:sz w:val="24"/>
          <w:szCs w:val="24"/>
        </w:rPr>
        <w:t xml:space="preserve"> </w:t>
      </w:r>
      <w:r w:rsidRPr="00931A5A">
        <w:rPr>
          <w:sz w:val="24"/>
          <w:szCs w:val="24"/>
        </w:rPr>
        <w:t>59-60-</w:t>
      </w:r>
      <w:r w:rsidRPr="00931A5A">
        <w:rPr>
          <w:spacing w:val="-5"/>
          <w:sz w:val="24"/>
          <w:szCs w:val="24"/>
        </w:rPr>
        <w:t>12</w:t>
      </w:r>
      <w:r>
        <w:rPr>
          <w:spacing w:val="-5"/>
          <w:sz w:val="24"/>
          <w:szCs w:val="24"/>
        </w:rPr>
        <w:t xml:space="preserve">; </w:t>
      </w:r>
    </w:p>
    <w:p w:rsidR="001D20B2" w:rsidRPr="00931A5A" w:rsidRDefault="001D20B2" w:rsidP="001D20B2">
      <w:pPr>
        <w:widowControl w:val="0"/>
        <w:autoSpaceDE w:val="0"/>
        <w:autoSpaceDN w:val="0"/>
        <w:spacing w:before="1" w:after="0" w:line="252" w:lineRule="exact"/>
        <w:ind w:left="1004" w:right="4" w:hanging="720"/>
        <w:rPr>
          <w:sz w:val="24"/>
          <w:szCs w:val="24"/>
        </w:rPr>
      </w:pPr>
      <w:r w:rsidRPr="00931A5A">
        <w:rPr>
          <w:sz w:val="24"/>
          <w:szCs w:val="24"/>
        </w:rPr>
        <w:t>e-mail:</w:t>
      </w:r>
      <w:r w:rsidRPr="00931A5A">
        <w:rPr>
          <w:spacing w:val="-6"/>
          <w:sz w:val="24"/>
          <w:szCs w:val="24"/>
        </w:rPr>
        <w:t xml:space="preserve"> </w:t>
      </w:r>
      <w:hyperlink r:id="rId280" w:history="1">
        <w:r w:rsidRPr="00BB0063">
          <w:rPr>
            <w:rStyle w:val="af3"/>
            <w:rFonts w:eastAsia="SimSun"/>
            <w:spacing w:val="-2"/>
            <w:sz w:val="24"/>
            <w:szCs w:val="24"/>
          </w:rPr>
          <w:t>phy</w:t>
        </w:r>
        <w:r w:rsidRPr="00450C76">
          <w:rPr>
            <w:rStyle w:val="af3"/>
            <w:rFonts w:eastAsia="SimSun"/>
            <w:spacing w:val="-2"/>
            <w:sz w:val="24"/>
            <w:szCs w:val="24"/>
            <w:lang w:val="ru-RU"/>
          </w:rPr>
          <w:t>-</w:t>
        </w:r>
        <w:r w:rsidRPr="00BB0063">
          <w:rPr>
            <w:rStyle w:val="af3"/>
            <w:rFonts w:eastAsia="SimSun"/>
            <w:spacing w:val="-2"/>
            <w:sz w:val="24"/>
            <w:szCs w:val="24"/>
          </w:rPr>
          <w:t>cult.newsletter@cnu.edu</w:t>
        </w:r>
        <w:r w:rsidRPr="00450C76">
          <w:rPr>
            <w:rStyle w:val="af3"/>
            <w:rFonts w:eastAsia="SimSun"/>
            <w:spacing w:val="-2"/>
            <w:sz w:val="24"/>
            <w:szCs w:val="24"/>
            <w:lang w:val="ru-RU"/>
          </w:rPr>
          <w:t>.</w:t>
        </w:r>
        <w:r w:rsidRPr="00BB0063">
          <w:rPr>
            <w:rStyle w:val="af3"/>
            <w:rFonts w:eastAsia="SimSun"/>
            <w:spacing w:val="-2"/>
            <w:sz w:val="24"/>
            <w:szCs w:val="24"/>
          </w:rPr>
          <w:t>ua</w:t>
        </w:r>
      </w:hyperlink>
    </w:p>
    <w:p w:rsidR="001D20B2" w:rsidRDefault="003D6B4F" w:rsidP="001D20B2">
      <w:pPr>
        <w:ind w:firstLine="284"/>
        <w:jc w:val="both"/>
        <w:rPr>
          <w:sz w:val="24"/>
          <w:szCs w:val="24"/>
        </w:rPr>
      </w:pPr>
      <w:hyperlink r:id="rId281" w:history="1">
        <w:r w:rsidR="001D20B2" w:rsidRPr="00BB0063">
          <w:rPr>
            <w:rStyle w:val="af3"/>
            <w:rFonts w:eastAsia="SimSun"/>
            <w:sz w:val="22"/>
            <w:szCs w:val="22"/>
          </w:rPr>
          <w:t>https://journals.pnu.edu.ua/index.php/fcult/</w:t>
        </w:r>
      </w:hyperlink>
      <w:r w:rsidR="001D20B2" w:rsidRPr="00450C76">
        <w:rPr>
          <w:sz w:val="24"/>
          <w:szCs w:val="24"/>
          <w:lang w:val="ru-RU"/>
        </w:rPr>
        <w:t xml:space="preserve"> </w:t>
      </w:r>
      <w:r w:rsidR="001D20B2" w:rsidRPr="00931A5A">
        <w:rPr>
          <w:sz w:val="24"/>
          <w:szCs w:val="24"/>
        </w:rPr>
        <w:t>–</w:t>
      </w:r>
      <w:r w:rsidR="001D20B2" w:rsidRPr="00931A5A">
        <w:rPr>
          <w:spacing w:val="40"/>
          <w:sz w:val="24"/>
          <w:szCs w:val="24"/>
        </w:rPr>
        <w:t xml:space="preserve"> </w:t>
      </w:r>
      <w:r w:rsidR="001D20B2" w:rsidRPr="00F8453E">
        <w:rPr>
          <w:sz w:val="24"/>
          <w:szCs w:val="24"/>
        </w:rPr>
        <w:t>сайт журнал</w:t>
      </w:r>
      <w:r w:rsidR="001D20B2">
        <w:rPr>
          <w:sz w:val="24"/>
          <w:szCs w:val="24"/>
        </w:rPr>
        <w:t>у</w:t>
      </w:r>
      <w:r w:rsidR="001D20B2" w:rsidRPr="00F8453E">
        <w:rPr>
          <w:sz w:val="24"/>
          <w:szCs w:val="24"/>
        </w:rPr>
        <w:t xml:space="preserve"> </w:t>
      </w:r>
      <w:r w:rsidR="001D20B2">
        <w:rPr>
          <w:sz w:val="24"/>
          <w:szCs w:val="24"/>
        </w:rPr>
        <w:t>«</w:t>
      </w:r>
      <w:r w:rsidR="001D20B2" w:rsidRPr="00931A5A">
        <w:rPr>
          <w:sz w:val="24"/>
          <w:szCs w:val="24"/>
        </w:rPr>
        <w:t>Вісник</w:t>
      </w:r>
      <w:r w:rsidR="001D20B2" w:rsidRPr="00931A5A">
        <w:rPr>
          <w:spacing w:val="40"/>
          <w:sz w:val="24"/>
          <w:szCs w:val="24"/>
        </w:rPr>
        <w:t xml:space="preserve"> </w:t>
      </w:r>
      <w:r w:rsidR="001D20B2" w:rsidRPr="00931A5A">
        <w:rPr>
          <w:sz w:val="24"/>
          <w:szCs w:val="24"/>
        </w:rPr>
        <w:t>Прикарпатського</w:t>
      </w:r>
      <w:r w:rsidR="001D20B2" w:rsidRPr="00931A5A">
        <w:rPr>
          <w:spacing w:val="40"/>
          <w:sz w:val="24"/>
          <w:szCs w:val="24"/>
        </w:rPr>
        <w:t xml:space="preserve"> </w:t>
      </w:r>
      <w:r w:rsidR="001D20B2" w:rsidRPr="00931A5A">
        <w:rPr>
          <w:sz w:val="24"/>
          <w:szCs w:val="24"/>
        </w:rPr>
        <w:t>університету. Серія: Фізична культура</w:t>
      </w:r>
      <w:r w:rsidR="001D20B2">
        <w:rPr>
          <w:sz w:val="24"/>
          <w:szCs w:val="24"/>
        </w:rPr>
        <w:t>»</w:t>
      </w:r>
      <w:r w:rsidR="001D20B2">
        <w:rPr>
          <w:sz w:val="24"/>
          <w:szCs w:val="24"/>
        </w:rPr>
        <w:br w:type="page"/>
      </w:r>
    </w:p>
    <w:p w:rsidR="001D20B2" w:rsidRDefault="001D20B2" w:rsidP="001D20B2">
      <w:pPr>
        <w:widowControl w:val="0"/>
        <w:autoSpaceDE w:val="0"/>
        <w:autoSpaceDN w:val="0"/>
        <w:spacing w:before="76" w:after="0" w:line="240" w:lineRule="auto"/>
        <w:ind w:right="278"/>
        <w:jc w:val="center"/>
      </w:pPr>
      <w:r w:rsidRPr="001767D6">
        <w:lastRenderedPageBreak/>
        <w:t>Наукове</w:t>
      </w:r>
      <w:r w:rsidRPr="001767D6">
        <w:rPr>
          <w:spacing w:val="-6"/>
        </w:rPr>
        <w:t xml:space="preserve"> </w:t>
      </w:r>
      <w:r w:rsidRPr="001767D6">
        <w:rPr>
          <w:spacing w:val="-2"/>
        </w:rPr>
        <w:t>видання</w:t>
      </w:r>
    </w:p>
    <w:p w:rsidR="001D20B2" w:rsidRDefault="001D20B2" w:rsidP="001D20B2">
      <w:pPr>
        <w:widowControl w:val="0"/>
        <w:autoSpaceDE w:val="0"/>
        <w:autoSpaceDN w:val="0"/>
        <w:spacing w:after="0" w:line="240" w:lineRule="auto"/>
        <w:rPr>
          <w:szCs w:val="24"/>
        </w:rPr>
      </w:pPr>
    </w:p>
    <w:p w:rsidR="001D20B2" w:rsidRDefault="001D20B2" w:rsidP="001D20B2">
      <w:pPr>
        <w:widowControl w:val="0"/>
        <w:autoSpaceDE w:val="0"/>
        <w:autoSpaceDN w:val="0"/>
        <w:spacing w:after="0" w:line="240" w:lineRule="auto"/>
        <w:rPr>
          <w:szCs w:val="24"/>
        </w:rPr>
      </w:pPr>
    </w:p>
    <w:p w:rsidR="001D20B2" w:rsidRPr="001767D6" w:rsidRDefault="001D20B2" w:rsidP="001D20B2">
      <w:pPr>
        <w:widowControl w:val="0"/>
        <w:autoSpaceDE w:val="0"/>
        <w:autoSpaceDN w:val="0"/>
        <w:spacing w:before="167" w:after="0" w:line="240" w:lineRule="auto"/>
        <w:rPr>
          <w:szCs w:val="24"/>
        </w:rPr>
      </w:pPr>
    </w:p>
    <w:p w:rsidR="001D20B2" w:rsidRPr="001767D6" w:rsidRDefault="001D20B2" w:rsidP="001D20B2">
      <w:pPr>
        <w:widowControl w:val="0"/>
        <w:autoSpaceDE w:val="0"/>
        <w:autoSpaceDN w:val="0"/>
        <w:spacing w:before="1" w:after="0" w:line="298" w:lineRule="exact"/>
        <w:ind w:left="2068" w:right="2352"/>
        <w:jc w:val="center"/>
        <w:rPr>
          <w:sz w:val="26"/>
        </w:rPr>
      </w:pPr>
      <w:r w:rsidRPr="001767D6">
        <w:rPr>
          <w:spacing w:val="-2"/>
          <w:sz w:val="26"/>
        </w:rPr>
        <w:t>ВІСНИК</w:t>
      </w:r>
    </w:p>
    <w:p w:rsidR="001D20B2" w:rsidRDefault="001D20B2" w:rsidP="001D20B2">
      <w:pPr>
        <w:widowControl w:val="0"/>
        <w:autoSpaceDE w:val="0"/>
        <w:autoSpaceDN w:val="0"/>
        <w:spacing w:after="0" w:line="298" w:lineRule="exact"/>
        <w:ind w:right="282"/>
        <w:jc w:val="center"/>
        <w:rPr>
          <w:sz w:val="26"/>
        </w:rPr>
      </w:pPr>
      <w:r w:rsidRPr="001767D6">
        <w:rPr>
          <w:spacing w:val="-2"/>
          <w:sz w:val="26"/>
        </w:rPr>
        <w:t>Прикарпатського</w:t>
      </w:r>
      <w:r w:rsidRPr="001767D6">
        <w:rPr>
          <w:spacing w:val="7"/>
          <w:sz w:val="26"/>
        </w:rPr>
        <w:t xml:space="preserve"> </w:t>
      </w:r>
      <w:r w:rsidRPr="001767D6">
        <w:rPr>
          <w:spacing w:val="-2"/>
          <w:sz w:val="26"/>
        </w:rPr>
        <w:t>університету</w:t>
      </w:r>
      <w:r>
        <w:rPr>
          <w:spacing w:val="-2"/>
          <w:sz w:val="26"/>
        </w:rPr>
        <w:t>.</w:t>
      </w:r>
    </w:p>
    <w:p w:rsidR="001D20B2" w:rsidRPr="001767D6" w:rsidRDefault="001D20B2" w:rsidP="001D20B2">
      <w:pPr>
        <w:widowControl w:val="0"/>
        <w:autoSpaceDE w:val="0"/>
        <w:autoSpaceDN w:val="0"/>
        <w:spacing w:after="0" w:line="298" w:lineRule="exact"/>
        <w:ind w:right="282"/>
        <w:jc w:val="center"/>
        <w:rPr>
          <w:sz w:val="26"/>
        </w:rPr>
      </w:pPr>
      <w:r>
        <w:rPr>
          <w:sz w:val="26"/>
        </w:rPr>
        <w:t xml:space="preserve">Серія: </w:t>
      </w:r>
      <w:r w:rsidRPr="001767D6">
        <w:rPr>
          <w:sz w:val="26"/>
        </w:rPr>
        <w:t>ФІЗИЧНА</w:t>
      </w:r>
      <w:r w:rsidRPr="001767D6">
        <w:rPr>
          <w:spacing w:val="-13"/>
          <w:sz w:val="26"/>
        </w:rPr>
        <w:t xml:space="preserve"> </w:t>
      </w:r>
      <w:r w:rsidRPr="001767D6">
        <w:rPr>
          <w:spacing w:val="-2"/>
          <w:sz w:val="26"/>
        </w:rPr>
        <w:t>КУЛЬТУРА</w:t>
      </w:r>
    </w:p>
    <w:p w:rsidR="001D20B2" w:rsidRPr="001767D6" w:rsidRDefault="001D20B2" w:rsidP="001D20B2">
      <w:pPr>
        <w:widowControl w:val="0"/>
        <w:autoSpaceDE w:val="0"/>
        <w:autoSpaceDN w:val="0"/>
        <w:spacing w:after="0" w:line="298" w:lineRule="exact"/>
        <w:ind w:right="281"/>
        <w:jc w:val="center"/>
        <w:rPr>
          <w:sz w:val="26"/>
        </w:rPr>
      </w:pPr>
      <w:r w:rsidRPr="001767D6">
        <w:rPr>
          <w:sz w:val="26"/>
        </w:rPr>
        <w:t>Випуск</w:t>
      </w:r>
      <w:r w:rsidRPr="001767D6">
        <w:rPr>
          <w:spacing w:val="-13"/>
          <w:sz w:val="26"/>
        </w:rPr>
        <w:t xml:space="preserve"> </w:t>
      </w:r>
      <w:r w:rsidRPr="001767D6">
        <w:rPr>
          <w:spacing w:val="-5"/>
          <w:sz w:val="26"/>
        </w:rPr>
        <w:t>4</w:t>
      </w:r>
      <w:r>
        <w:rPr>
          <w:spacing w:val="-5"/>
          <w:sz w:val="26"/>
        </w:rPr>
        <w:t>6</w:t>
      </w:r>
    </w:p>
    <w:p w:rsidR="001D20B2" w:rsidRPr="001767D6" w:rsidRDefault="001D20B2" w:rsidP="001D20B2">
      <w:pPr>
        <w:widowControl w:val="0"/>
        <w:autoSpaceDE w:val="0"/>
        <w:autoSpaceDN w:val="0"/>
        <w:spacing w:before="1" w:after="0" w:line="240" w:lineRule="auto"/>
        <w:ind w:right="281"/>
        <w:jc w:val="center"/>
        <w:rPr>
          <w:sz w:val="26"/>
        </w:rPr>
      </w:pPr>
      <w:r w:rsidRPr="001767D6">
        <w:rPr>
          <w:spacing w:val="-4"/>
          <w:sz w:val="26"/>
        </w:rPr>
        <w:t>202</w:t>
      </w:r>
      <w:r>
        <w:rPr>
          <w:spacing w:val="-4"/>
          <w:sz w:val="26"/>
        </w:rPr>
        <w:t>6</w:t>
      </w:r>
    </w:p>
    <w:p w:rsidR="001D20B2" w:rsidRDefault="001D20B2" w:rsidP="001D20B2">
      <w:pPr>
        <w:widowControl w:val="0"/>
        <w:autoSpaceDE w:val="0"/>
        <w:autoSpaceDN w:val="0"/>
        <w:spacing w:before="292" w:after="0" w:line="240" w:lineRule="auto"/>
        <w:ind w:right="282"/>
        <w:jc w:val="center"/>
        <w:outlineLvl w:val="1"/>
        <w:rPr>
          <w:sz w:val="26"/>
          <w:szCs w:val="26"/>
        </w:rPr>
      </w:pPr>
      <w:r w:rsidRPr="001767D6">
        <w:rPr>
          <w:sz w:val="26"/>
          <w:szCs w:val="26"/>
        </w:rPr>
        <w:t>Видається</w:t>
      </w:r>
      <w:r w:rsidRPr="001767D6">
        <w:rPr>
          <w:spacing w:val="-7"/>
          <w:sz w:val="26"/>
          <w:szCs w:val="26"/>
        </w:rPr>
        <w:t xml:space="preserve"> </w:t>
      </w:r>
      <w:r w:rsidRPr="001767D6">
        <w:rPr>
          <w:sz w:val="26"/>
          <w:szCs w:val="26"/>
        </w:rPr>
        <w:t>з</w:t>
      </w:r>
      <w:r w:rsidRPr="001767D6">
        <w:rPr>
          <w:spacing w:val="-5"/>
          <w:sz w:val="26"/>
          <w:szCs w:val="26"/>
        </w:rPr>
        <w:t xml:space="preserve"> </w:t>
      </w:r>
      <w:r w:rsidRPr="001767D6">
        <w:rPr>
          <w:sz w:val="26"/>
          <w:szCs w:val="26"/>
        </w:rPr>
        <w:t>2004</w:t>
      </w:r>
      <w:r w:rsidRPr="001767D6">
        <w:rPr>
          <w:spacing w:val="-5"/>
          <w:sz w:val="26"/>
          <w:szCs w:val="26"/>
        </w:rPr>
        <w:t xml:space="preserve"> p.</w:t>
      </w:r>
    </w:p>
    <w:p w:rsidR="001D20B2" w:rsidRDefault="001D20B2" w:rsidP="001D20B2">
      <w:pPr>
        <w:widowControl w:val="0"/>
        <w:autoSpaceDE w:val="0"/>
        <w:autoSpaceDN w:val="0"/>
        <w:spacing w:after="0" w:line="240" w:lineRule="auto"/>
        <w:rPr>
          <w:sz w:val="26"/>
          <w:szCs w:val="24"/>
        </w:rPr>
      </w:pPr>
    </w:p>
    <w:p w:rsidR="001D20B2" w:rsidRDefault="001D20B2" w:rsidP="001D20B2">
      <w:pPr>
        <w:widowControl w:val="0"/>
        <w:autoSpaceDE w:val="0"/>
        <w:autoSpaceDN w:val="0"/>
        <w:spacing w:after="0" w:line="240" w:lineRule="auto"/>
        <w:rPr>
          <w:sz w:val="26"/>
          <w:szCs w:val="24"/>
        </w:rPr>
      </w:pPr>
    </w:p>
    <w:p w:rsidR="001D20B2" w:rsidRPr="001767D6" w:rsidRDefault="001D20B2" w:rsidP="001D20B2">
      <w:pPr>
        <w:widowControl w:val="0"/>
        <w:tabs>
          <w:tab w:val="left" w:pos="5242"/>
        </w:tabs>
        <w:autoSpaceDE w:val="0"/>
        <w:autoSpaceDN w:val="0"/>
        <w:spacing w:after="0" w:line="298" w:lineRule="exact"/>
        <w:ind w:left="2409"/>
        <w:rPr>
          <w:sz w:val="26"/>
        </w:rPr>
      </w:pPr>
      <w:r w:rsidRPr="001767D6">
        <w:rPr>
          <w:spacing w:val="-2"/>
          <w:sz w:val="26"/>
        </w:rPr>
        <w:t>Головний редактор</w:t>
      </w:r>
      <w:r w:rsidRPr="001767D6">
        <w:rPr>
          <w:sz w:val="26"/>
        </w:rPr>
        <w:tab/>
        <w:t>І.П. Випасняк</w:t>
      </w:r>
    </w:p>
    <w:p w:rsidR="001D20B2" w:rsidRDefault="001D20B2" w:rsidP="001D20B2">
      <w:pPr>
        <w:widowControl w:val="0"/>
        <w:tabs>
          <w:tab w:val="left" w:pos="5242"/>
        </w:tabs>
        <w:autoSpaceDE w:val="0"/>
        <w:autoSpaceDN w:val="0"/>
        <w:spacing w:after="0" w:line="298" w:lineRule="exact"/>
        <w:ind w:left="2409"/>
        <w:rPr>
          <w:i/>
          <w:sz w:val="26"/>
        </w:rPr>
      </w:pPr>
      <w:r w:rsidRPr="001767D6">
        <w:rPr>
          <w:sz w:val="26"/>
        </w:rPr>
        <w:t>Комп</w:t>
      </w:r>
      <w:r>
        <w:rPr>
          <w:sz w:val="26"/>
        </w:rPr>
        <w:t>’</w:t>
      </w:r>
      <w:r w:rsidRPr="001767D6">
        <w:rPr>
          <w:sz w:val="26"/>
        </w:rPr>
        <w:t>ютерна</w:t>
      </w:r>
      <w:r w:rsidRPr="001767D6">
        <w:rPr>
          <w:spacing w:val="-16"/>
          <w:sz w:val="26"/>
        </w:rPr>
        <w:t xml:space="preserve"> </w:t>
      </w:r>
      <w:r w:rsidRPr="001767D6">
        <w:rPr>
          <w:spacing w:val="-2"/>
          <w:sz w:val="26"/>
        </w:rPr>
        <w:t>верстка</w:t>
      </w:r>
      <w:r w:rsidRPr="001767D6">
        <w:rPr>
          <w:sz w:val="26"/>
        </w:rPr>
        <w:tab/>
        <w:t>В.Б. Мочернюк</w:t>
      </w:r>
    </w:p>
    <w:p w:rsidR="001D20B2" w:rsidRDefault="001D20B2" w:rsidP="001D20B2">
      <w:pPr>
        <w:widowControl w:val="0"/>
        <w:autoSpaceDE w:val="0"/>
        <w:autoSpaceDN w:val="0"/>
        <w:spacing w:after="0" w:line="240" w:lineRule="auto"/>
        <w:rPr>
          <w:i/>
          <w:sz w:val="26"/>
          <w:szCs w:val="24"/>
        </w:rPr>
      </w:pPr>
    </w:p>
    <w:p w:rsidR="001D20B2" w:rsidRDefault="001D20B2" w:rsidP="001D20B2">
      <w:pPr>
        <w:widowControl w:val="0"/>
        <w:autoSpaceDE w:val="0"/>
        <w:autoSpaceDN w:val="0"/>
        <w:spacing w:after="0" w:line="240" w:lineRule="auto"/>
        <w:ind w:left="2933" w:right="3217" w:hanging="3"/>
        <w:jc w:val="center"/>
        <w:outlineLvl w:val="1"/>
        <w:rPr>
          <w:sz w:val="26"/>
          <w:szCs w:val="26"/>
        </w:rPr>
      </w:pPr>
      <w:r w:rsidRPr="001767D6">
        <w:rPr>
          <w:sz w:val="26"/>
          <w:szCs w:val="26"/>
        </w:rPr>
        <w:t>Друкується українською мовою Реєстраційне</w:t>
      </w:r>
      <w:r w:rsidRPr="001767D6">
        <w:rPr>
          <w:spacing w:val="-10"/>
          <w:sz w:val="26"/>
          <w:szCs w:val="26"/>
        </w:rPr>
        <w:t xml:space="preserve"> </w:t>
      </w:r>
      <w:r w:rsidRPr="001767D6">
        <w:rPr>
          <w:sz w:val="26"/>
          <w:szCs w:val="26"/>
        </w:rPr>
        <w:t>свідоцтво</w:t>
      </w:r>
      <w:r w:rsidRPr="001767D6">
        <w:rPr>
          <w:spacing w:val="-10"/>
          <w:sz w:val="26"/>
          <w:szCs w:val="26"/>
        </w:rPr>
        <w:t xml:space="preserve"> </w:t>
      </w:r>
      <w:r w:rsidRPr="001767D6">
        <w:rPr>
          <w:sz w:val="26"/>
          <w:szCs w:val="26"/>
        </w:rPr>
        <w:t>КВ</w:t>
      </w:r>
      <w:r w:rsidRPr="001767D6">
        <w:rPr>
          <w:spacing w:val="-10"/>
          <w:sz w:val="26"/>
          <w:szCs w:val="26"/>
        </w:rPr>
        <w:t xml:space="preserve"> </w:t>
      </w:r>
      <w:r w:rsidRPr="001767D6">
        <w:rPr>
          <w:sz w:val="26"/>
          <w:szCs w:val="26"/>
        </w:rPr>
        <w:t>№</w:t>
      </w:r>
      <w:r w:rsidRPr="001767D6">
        <w:rPr>
          <w:spacing w:val="-9"/>
          <w:sz w:val="26"/>
          <w:szCs w:val="26"/>
        </w:rPr>
        <w:t xml:space="preserve"> </w:t>
      </w:r>
      <w:r w:rsidRPr="001767D6">
        <w:rPr>
          <w:sz w:val="26"/>
          <w:szCs w:val="26"/>
        </w:rPr>
        <w:t>435</w:t>
      </w:r>
    </w:p>
    <w:p w:rsidR="001D20B2" w:rsidRPr="001767D6" w:rsidRDefault="001D20B2" w:rsidP="001D20B2">
      <w:pPr>
        <w:widowControl w:val="0"/>
        <w:autoSpaceDE w:val="0"/>
        <w:autoSpaceDN w:val="0"/>
        <w:spacing w:before="254" w:after="0" w:line="240" w:lineRule="auto"/>
        <w:rPr>
          <w:sz w:val="26"/>
          <w:szCs w:val="24"/>
        </w:rPr>
      </w:pPr>
    </w:p>
    <w:p w:rsidR="001D20B2" w:rsidRPr="001767D6" w:rsidRDefault="001D20B2" w:rsidP="001D20B2">
      <w:pPr>
        <w:widowControl w:val="0"/>
        <w:autoSpaceDE w:val="0"/>
        <w:autoSpaceDN w:val="0"/>
        <w:spacing w:after="0" w:line="240" w:lineRule="auto"/>
        <w:ind w:right="281"/>
        <w:jc w:val="center"/>
        <w:rPr>
          <w:sz w:val="24"/>
          <w:szCs w:val="24"/>
        </w:rPr>
      </w:pPr>
      <w:r w:rsidRPr="001767D6">
        <w:rPr>
          <w:sz w:val="24"/>
          <w:szCs w:val="24"/>
        </w:rPr>
        <w:t>Підп.</w:t>
      </w:r>
      <w:r w:rsidRPr="001767D6">
        <w:rPr>
          <w:spacing w:val="-1"/>
          <w:sz w:val="24"/>
          <w:szCs w:val="24"/>
        </w:rPr>
        <w:t xml:space="preserve"> </w:t>
      </w:r>
      <w:r w:rsidRPr="001767D6">
        <w:rPr>
          <w:sz w:val="24"/>
          <w:szCs w:val="24"/>
        </w:rPr>
        <w:t>до друку</w:t>
      </w:r>
      <w:r w:rsidRPr="001767D6">
        <w:rPr>
          <w:spacing w:val="-5"/>
          <w:sz w:val="24"/>
          <w:szCs w:val="24"/>
        </w:rPr>
        <w:t xml:space="preserve"> </w:t>
      </w:r>
      <w:r w:rsidRPr="001767D6">
        <w:rPr>
          <w:sz w:val="24"/>
          <w:szCs w:val="24"/>
        </w:rPr>
        <w:t>20.12.2024.</w:t>
      </w:r>
      <w:r w:rsidRPr="001767D6">
        <w:rPr>
          <w:spacing w:val="-1"/>
          <w:sz w:val="24"/>
          <w:szCs w:val="24"/>
        </w:rPr>
        <w:t xml:space="preserve"> </w:t>
      </w:r>
      <w:r w:rsidRPr="001767D6">
        <w:rPr>
          <w:sz w:val="24"/>
          <w:szCs w:val="24"/>
        </w:rPr>
        <w:t xml:space="preserve">Формат </w:t>
      </w:r>
      <w:r w:rsidRPr="001767D6">
        <w:rPr>
          <w:spacing w:val="-2"/>
          <w:sz w:val="24"/>
          <w:szCs w:val="24"/>
        </w:rPr>
        <w:t>60х84/</w:t>
      </w:r>
      <w:r w:rsidRPr="001767D6">
        <w:rPr>
          <w:spacing w:val="-2"/>
          <w:sz w:val="24"/>
          <w:szCs w:val="24"/>
          <w:vertAlign w:val="subscript"/>
        </w:rPr>
        <w:t>8</w:t>
      </w:r>
      <w:r w:rsidRPr="001767D6">
        <w:rPr>
          <w:spacing w:val="-2"/>
          <w:sz w:val="24"/>
          <w:szCs w:val="24"/>
        </w:rPr>
        <w:t>.</w:t>
      </w:r>
    </w:p>
    <w:p w:rsidR="001D20B2" w:rsidRPr="001767D6" w:rsidRDefault="001D20B2" w:rsidP="001D20B2">
      <w:pPr>
        <w:widowControl w:val="0"/>
        <w:autoSpaceDE w:val="0"/>
        <w:autoSpaceDN w:val="0"/>
        <w:spacing w:after="0" w:line="240" w:lineRule="auto"/>
        <w:ind w:right="281"/>
        <w:jc w:val="center"/>
        <w:rPr>
          <w:sz w:val="24"/>
          <w:szCs w:val="24"/>
        </w:rPr>
      </w:pPr>
      <w:r w:rsidRPr="001767D6">
        <w:rPr>
          <w:sz w:val="24"/>
          <w:szCs w:val="24"/>
        </w:rPr>
        <w:t>Гарнітура</w:t>
      </w:r>
      <w:r w:rsidRPr="001767D6">
        <w:rPr>
          <w:spacing w:val="-3"/>
          <w:sz w:val="24"/>
          <w:szCs w:val="24"/>
        </w:rPr>
        <w:t xml:space="preserve"> </w:t>
      </w:r>
      <w:r w:rsidRPr="001767D6">
        <w:rPr>
          <w:sz w:val="24"/>
          <w:szCs w:val="24"/>
        </w:rPr>
        <w:t>“Times</w:t>
      </w:r>
      <w:r w:rsidRPr="001767D6">
        <w:rPr>
          <w:spacing w:val="-3"/>
          <w:sz w:val="24"/>
          <w:szCs w:val="24"/>
        </w:rPr>
        <w:t xml:space="preserve"> </w:t>
      </w:r>
      <w:r w:rsidRPr="001767D6">
        <w:rPr>
          <w:sz w:val="24"/>
          <w:szCs w:val="24"/>
        </w:rPr>
        <w:t>New Roman”.</w:t>
      </w:r>
      <w:r w:rsidRPr="001767D6">
        <w:rPr>
          <w:spacing w:val="-2"/>
          <w:sz w:val="24"/>
          <w:szCs w:val="24"/>
        </w:rPr>
        <w:t xml:space="preserve"> </w:t>
      </w:r>
      <w:r w:rsidRPr="001767D6">
        <w:rPr>
          <w:sz w:val="24"/>
          <w:szCs w:val="24"/>
        </w:rPr>
        <w:t>Ум.</w:t>
      </w:r>
      <w:r w:rsidRPr="001767D6">
        <w:rPr>
          <w:spacing w:val="-1"/>
          <w:sz w:val="24"/>
          <w:szCs w:val="24"/>
        </w:rPr>
        <w:t xml:space="preserve"> </w:t>
      </w:r>
      <w:r w:rsidRPr="001767D6">
        <w:rPr>
          <w:sz w:val="24"/>
          <w:szCs w:val="24"/>
        </w:rPr>
        <w:t>друк.</w:t>
      </w:r>
      <w:r w:rsidRPr="001767D6">
        <w:rPr>
          <w:spacing w:val="-2"/>
          <w:sz w:val="24"/>
          <w:szCs w:val="24"/>
        </w:rPr>
        <w:t xml:space="preserve"> </w:t>
      </w:r>
      <w:r w:rsidRPr="001767D6">
        <w:rPr>
          <w:sz w:val="24"/>
          <w:szCs w:val="24"/>
        </w:rPr>
        <w:t>арк.</w:t>
      </w:r>
      <w:r w:rsidRPr="001767D6">
        <w:rPr>
          <w:spacing w:val="1"/>
          <w:sz w:val="24"/>
          <w:szCs w:val="24"/>
        </w:rPr>
        <w:t xml:space="preserve"> </w:t>
      </w:r>
      <w:r w:rsidRPr="001767D6">
        <w:rPr>
          <w:spacing w:val="-2"/>
          <w:sz w:val="24"/>
          <w:szCs w:val="24"/>
        </w:rPr>
        <w:t>10,55.</w:t>
      </w:r>
    </w:p>
    <w:p w:rsidR="001D20B2" w:rsidRDefault="001D20B2" w:rsidP="001D20B2">
      <w:pPr>
        <w:widowControl w:val="0"/>
        <w:autoSpaceDE w:val="0"/>
        <w:autoSpaceDN w:val="0"/>
        <w:spacing w:after="0" w:line="240" w:lineRule="auto"/>
        <w:ind w:right="281"/>
        <w:jc w:val="center"/>
        <w:rPr>
          <w:sz w:val="24"/>
          <w:szCs w:val="24"/>
        </w:rPr>
      </w:pPr>
      <w:r w:rsidRPr="001767D6">
        <w:rPr>
          <w:sz w:val="24"/>
          <w:szCs w:val="24"/>
        </w:rPr>
        <w:t>Тираж</w:t>
      </w:r>
      <w:r w:rsidRPr="001767D6">
        <w:rPr>
          <w:spacing w:val="-1"/>
          <w:sz w:val="24"/>
          <w:szCs w:val="24"/>
        </w:rPr>
        <w:t xml:space="preserve"> </w:t>
      </w:r>
      <w:r w:rsidRPr="001767D6">
        <w:rPr>
          <w:sz w:val="24"/>
          <w:szCs w:val="24"/>
        </w:rPr>
        <w:t>100</w:t>
      </w:r>
      <w:r w:rsidRPr="001767D6">
        <w:rPr>
          <w:spacing w:val="-1"/>
          <w:sz w:val="24"/>
          <w:szCs w:val="24"/>
        </w:rPr>
        <w:t xml:space="preserve"> </w:t>
      </w:r>
      <w:r w:rsidRPr="001767D6">
        <w:rPr>
          <w:spacing w:val="-2"/>
          <w:sz w:val="24"/>
          <w:szCs w:val="24"/>
        </w:rPr>
        <w:t>прим.</w:t>
      </w:r>
    </w:p>
    <w:p w:rsidR="001D20B2" w:rsidRPr="001767D6" w:rsidRDefault="001D20B2" w:rsidP="001D20B2">
      <w:pPr>
        <w:widowControl w:val="0"/>
        <w:autoSpaceDE w:val="0"/>
        <w:autoSpaceDN w:val="0"/>
        <w:spacing w:after="0" w:line="227" w:lineRule="exact"/>
        <w:ind w:right="258"/>
        <w:jc w:val="center"/>
        <w:rPr>
          <w:sz w:val="20"/>
        </w:rPr>
      </w:pPr>
      <w:r w:rsidRPr="001767D6">
        <w:rPr>
          <w:spacing w:val="-2"/>
          <w:sz w:val="20"/>
        </w:rPr>
        <w:t>Видавець</w:t>
      </w:r>
    </w:p>
    <w:p w:rsidR="001D20B2" w:rsidRPr="001767D6" w:rsidRDefault="001D20B2" w:rsidP="001D20B2">
      <w:pPr>
        <w:widowControl w:val="0"/>
        <w:autoSpaceDE w:val="0"/>
        <w:autoSpaceDN w:val="0"/>
        <w:spacing w:after="0" w:line="240" w:lineRule="auto"/>
        <w:ind w:left="1704" w:right="1967"/>
        <w:jc w:val="center"/>
        <w:rPr>
          <w:sz w:val="20"/>
        </w:rPr>
      </w:pPr>
      <w:r>
        <w:rPr>
          <w:sz w:val="20"/>
        </w:rPr>
        <w:t>К</w:t>
      </w:r>
      <w:r w:rsidRPr="001767D6">
        <w:rPr>
          <w:sz w:val="20"/>
        </w:rPr>
        <w:t>арпатський</w:t>
      </w:r>
      <w:r w:rsidRPr="001767D6">
        <w:rPr>
          <w:spacing w:val="-13"/>
          <w:sz w:val="20"/>
        </w:rPr>
        <w:t xml:space="preserve"> </w:t>
      </w:r>
      <w:r w:rsidRPr="001767D6">
        <w:rPr>
          <w:sz w:val="20"/>
        </w:rPr>
        <w:t>національний</w:t>
      </w:r>
      <w:r w:rsidRPr="001767D6">
        <w:rPr>
          <w:spacing w:val="-12"/>
          <w:sz w:val="20"/>
        </w:rPr>
        <w:t xml:space="preserve"> </w:t>
      </w:r>
      <w:r w:rsidRPr="001767D6">
        <w:rPr>
          <w:sz w:val="20"/>
        </w:rPr>
        <w:t>університет</w:t>
      </w:r>
      <w:r w:rsidRPr="001767D6">
        <w:rPr>
          <w:spacing w:val="-13"/>
          <w:sz w:val="20"/>
        </w:rPr>
        <w:t xml:space="preserve"> </w:t>
      </w:r>
      <w:r w:rsidRPr="001767D6">
        <w:rPr>
          <w:sz w:val="20"/>
        </w:rPr>
        <w:t>імені</w:t>
      </w:r>
      <w:r w:rsidRPr="001767D6">
        <w:rPr>
          <w:spacing w:val="-10"/>
          <w:sz w:val="20"/>
        </w:rPr>
        <w:t xml:space="preserve"> </w:t>
      </w:r>
      <w:r w:rsidRPr="001767D6">
        <w:rPr>
          <w:sz w:val="20"/>
        </w:rPr>
        <w:t>Василя</w:t>
      </w:r>
      <w:r w:rsidRPr="001767D6">
        <w:rPr>
          <w:spacing w:val="-11"/>
          <w:sz w:val="20"/>
        </w:rPr>
        <w:t xml:space="preserve"> </w:t>
      </w:r>
      <w:r w:rsidRPr="001767D6">
        <w:rPr>
          <w:sz w:val="20"/>
        </w:rPr>
        <w:t>Стефаника 76018, м. Івано-Франківськ, вул. С. Бандери, 1,</w:t>
      </w:r>
    </w:p>
    <w:p w:rsidR="001D20B2" w:rsidRPr="001767D6" w:rsidRDefault="001D20B2" w:rsidP="001D20B2">
      <w:pPr>
        <w:widowControl w:val="0"/>
        <w:autoSpaceDE w:val="0"/>
        <w:autoSpaceDN w:val="0"/>
        <w:spacing w:after="0" w:line="240" w:lineRule="auto"/>
        <w:ind w:right="260"/>
        <w:jc w:val="center"/>
        <w:rPr>
          <w:sz w:val="20"/>
        </w:rPr>
      </w:pPr>
      <w:r w:rsidRPr="001767D6">
        <w:rPr>
          <w:sz w:val="20"/>
        </w:rPr>
        <w:t>тел.</w:t>
      </w:r>
      <w:r w:rsidRPr="001767D6">
        <w:rPr>
          <w:spacing w:val="-9"/>
          <w:sz w:val="20"/>
        </w:rPr>
        <w:t xml:space="preserve"> </w:t>
      </w:r>
      <w:r w:rsidRPr="001767D6">
        <w:rPr>
          <w:sz w:val="20"/>
        </w:rPr>
        <w:t>75-13-08,</w:t>
      </w:r>
      <w:r w:rsidRPr="001767D6">
        <w:rPr>
          <w:spacing w:val="-6"/>
          <w:sz w:val="20"/>
        </w:rPr>
        <w:t xml:space="preserve"> </w:t>
      </w:r>
      <w:r w:rsidRPr="001767D6">
        <w:rPr>
          <w:sz w:val="20"/>
        </w:rPr>
        <w:t>e-maіl:</w:t>
      </w:r>
      <w:r w:rsidRPr="001767D6">
        <w:rPr>
          <w:spacing w:val="-5"/>
          <w:sz w:val="20"/>
        </w:rPr>
        <w:t xml:space="preserve"> </w:t>
      </w:r>
      <w:hyperlink r:id="rId282">
        <w:r w:rsidRPr="001767D6">
          <w:rPr>
            <w:spacing w:val="-2"/>
            <w:sz w:val="20"/>
          </w:rPr>
          <w:t>vdvcit@pnu.edu.ua</w:t>
        </w:r>
      </w:hyperlink>
    </w:p>
    <w:p w:rsidR="001D20B2" w:rsidRDefault="001D20B2" w:rsidP="001D20B2">
      <w:pPr>
        <w:widowControl w:val="0"/>
        <w:autoSpaceDE w:val="0"/>
        <w:autoSpaceDN w:val="0"/>
        <w:spacing w:after="0" w:line="240" w:lineRule="auto"/>
        <w:ind w:right="285"/>
        <w:jc w:val="center"/>
        <w:rPr>
          <w:i/>
          <w:sz w:val="20"/>
        </w:rPr>
      </w:pPr>
      <w:r w:rsidRPr="001767D6">
        <w:rPr>
          <w:i/>
          <w:sz w:val="20"/>
        </w:rPr>
        <w:t>Свідоцтво</w:t>
      </w:r>
      <w:r w:rsidRPr="001767D6">
        <w:rPr>
          <w:i/>
          <w:spacing w:val="-5"/>
          <w:sz w:val="20"/>
        </w:rPr>
        <w:t xml:space="preserve"> </w:t>
      </w:r>
      <w:r w:rsidRPr="001767D6">
        <w:rPr>
          <w:i/>
          <w:sz w:val="20"/>
        </w:rPr>
        <w:t>суб</w:t>
      </w:r>
      <w:r>
        <w:rPr>
          <w:sz w:val="20"/>
        </w:rPr>
        <w:t>’</w:t>
      </w:r>
      <w:r w:rsidRPr="001767D6">
        <w:rPr>
          <w:i/>
          <w:sz w:val="20"/>
        </w:rPr>
        <w:t>єкта</w:t>
      </w:r>
      <w:r w:rsidRPr="001767D6">
        <w:rPr>
          <w:i/>
          <w:spacing w:val="-4"/>
          <w:sz w:val="20"/>
        </w:rPr>
        <w:t xml:space="preserve"> </w:t>
      </w:r>
      <w:r w:rsidRPr="001767D6">
        <w:rPr>
          <w:i/>
          <w:sz w:val="20"/>
        </w:rPr>
        <w:t>видавничої</w:t>
      </w:r>
      <w:r w:rsidRPr="001767D6">
        <w:rPr>
          <w:i/>
          <w:spacing w:val="-5"/>
          <w:sz w:val="20"/>
        </w:rPr>
        <w:t xml:space="preserve"> </w:t>
      </w:r>
      <w:r w:rsidRPr="001767D6">
        <w:rPr>
          <w:i/>
          <w:sz w:val="20"/>
        </w:rPr>
        <w:t>справи</w:t>
      </w:r>
      <w:r w:rsidRPr="001767D6">
        <w:rPr>
          <w:i/>
          <w:spacing w:val="-4"/>
          <w:sz w:val="20"/>
        </w:rPr>
        <w:t xml:space="preserve"> </w:t>
      </w:r>
      <w:r w:rsidRPr="001767D6">
        <w:rPr>
          <w:i/>
          <w:sz w:val="20"/>
        </w:rPr>
        <w:t>ДК</w:t>
      </w:r>
      <w:r w:rsidRPr="001767D6">
        <w:rPr>
          <w:i/>
          <w:spacing w:val="-5"/>
          <w:sz w:val="20"/>
        </w:rPr>
        <w:t xml:space="preserve"> </w:t>
      </w:r>
      <w:r w:rsidRPr="001767D6">
        <w:rPr>
          <w:i/>
          <w:sz w:val="20"/>
        </w:rPr>
        <w:t>№</w:t>
      </w:r>
      <w:r w:rsidRPr="001767D6">
        <w:rPr>
          <w:i/>
          <w:spacing w:val="-6"/>
          <w:sz w:val="20"/>
        </w:rPr>
        <w:t xml:space="preserve"> </w:t>
      </w:r>
      <w:r w:rsidRPr="001767D6">
        <w:rPr>
          <w:i/>
          <w:sz w:val="20"/>
        </w:rPr>
        <w:t>7616</w:t>
      </w:r>
      <w:r w:rsidRPr="001767D6">
        <w:rPr>
          <w:i/>
          <w:spacing w:val="-4"/>
          <w:sz w:val="20"/>
        </w:rPr>
        <w:t xml:space="preserve"> </w:t>
      </w:r>
      <w:r w:rsidRPr="001767D6">
        <w:rPr>
          <w:i/>
          <w:sz w:val="20"/>
        </w:rPr>
        <w:t>від</w:t>
      </w:r>
      <w:r w:rsidRPr="001767D6">
        <w:rPr>
          <w:i/>
          <w:spacing w:val="-6"/>
          <w:sz w:val="20"/>
        </w:rPr>
        <w:t xml:space="preserve"> </w:t>
      </w:r>
      <w:r w:rsidRPr="001767D6">
        <w:rPr>
          <w:i/>
          <w:spacing w:val="-2"/>
          <w:sz w:val="20"/>
        </w:rPr>
        <w:t>26.05.2022</w:t>
      </w:r>
    </w:p>
    <w:p w:rsidR="001D20B2" w:rsidRDefault="001D20B2" w:rsidP="001D20B2">
      <w:pPr>
        <w:spacing w:after="0" w:line="227" w:lineRule="exact"/>
        <w:ind w:right="280"/>
        <w:jc w:val="center"/>
        <w:rPr>
          <w:spacing w:val="-2"/>
          <w:sz w:val="20"/>
          <w:highlight w:val="yellow"/>
        </w:rPr>
      </w:pPr>
    </w:p>
    <w:p w:rsidR="001D20B2" w:rsidRPr="001767D6" w:rsidRDefault="001D20B2" w:rsidP="001D20B2">
      <w:pPr>
        <w:spacing w:after="0" w:line="227" w:lineRule="exact"/>
        <w:ind w:right="280"/>
        <w:jc w:val="center"/>
        <w:rPr>
          <w:sz w:val="20"/>
          <w:szCs w:val="20"/>
        </w:rPr>
      </w:pPr>
      <w:r w:rsidRPr="001767D6">
        <w:rPr>
          <w:spacing w:val="-2"/>
          <w:sz w:val="20"/>
          <w:szCs w:val="20"/>
        </w:rPr>
        <w:t>Виготовлювач</w:t>
      </w:r>
    </w:p>
    <w:p w:rsidR="001D20B2" w:rsidRPr="001767D6" w:rsidRDefault="001D20B2" w:rsidP="001D20B2">
      <w:pPr>
        <w:spacing w:after="0" w:line="227" w:lineRule="exact"/>
        <w:ind w:right="283"/>
        <w:jc w:val="center"/>
        <w:rPr>
          <w:sz w:val="20"/>
          <w:szCs w:val="20"/>
        </w:rPr>
      </w:pPr>
      <w:r w:rsidRPr="001767D6">
        <w:rPr>
          <w:sz w:val="20"/>
          <w:szCs w:val="20"/>
        </w:rPr>
        <w:t>ТзОВ</w:t>
      </w:r>
      <w:r w:rsidRPr="001767D6">
        <w:rPr>
          <w:spacing w:val="-6"/>
          <w:sz w:val="20"/>
          <w:szCs w:val="20"/>
        </w:rPr>
        <w:t xml:space="preserve"> </w:t>
      </w:r>
      <w:r w:rsidRPr="001767D6">
        <w:rPr>
          <w:sz w:val="20"/>
          <w:szCs w:val="20"/>
        </w:rPr>
        <w:t>“ВГЦ</w:t>
      </w:r>
      <w:r w:rsidRPr="001767D6">
        <w:rPr>
          <w:spacing w:val="-5"/>
          <w:sz w:val="20"/>
          <w:szCs w:val="20"/>
        </w:rPr>
        <w:t xml:space="preserve"> </w:t>
      </w:r>
      <w:r w:rsidRPr="001767D6">
        <w:rPr>
          <w:spacing w:val="-2"/>
          <w:sz w:val="20"/>
          <w:szCs w:val="20"/>
        </w:rPr>
        <w:t>“Просвіта”</w:t>
      </w:r>
    </w:p>
    <w:p w:rsidR="001D20B2" w:rsidRPr="001767D6" w:rsidRDefault="001D20B2" w:rsidP="001D20B2">
      <w:pPr>
        <w:spacing w:before="1" w:after="0"/>
        <w:ind w:left="2047" w:right="2326"/>
        <w:jc w:val="center"/>
        <w:rPr>
          <w:sz w:val="20"/>
          <w:szCs w:val="20"/>
        </w:rPr>
      </w:pPr>
      <w:r w:rsidRPr="001767D6">
        <w:rPr>
          <w:sz w:val="20"/>
          <w:szCs w:val="20"/>
        </w:rPr>
        <w:t>76018,</w:t>
      </w:r>
      <w:r w:rsidRPr="001767D6">
        <w:rPr>
          <w:spacing w:val="-5"/>
          <w:sz w:val="20"/>
          <w:szCs w:val="20"/>
        </w:rPr>
        <w:t xml:space="preserve"> </w:t>
      </w:r>
      <w:r w:rsidRPr="001767D6">
        <w:rPr>
          <w:sz w:val="20"/>
          <w:szCs w:val="20"/>
        </w:rPr>
        <w:t>м.</w:t>
      </w:r>
      <w:r w:rsidRPr="001767D6">
        <w:rPr>
          <w:spacing w:val="-7"/>
          <w:sz w:val="20"/>
          <w:szCs w:val="20"/>
        </w:rPr>
        <w:t xml:space="preserve"> </w:t>
      </w:r>
      <w:r w:rsidRPr="001767D6">
        <w:rPr>
          <w:sz w:val="20"/>
          <w:szCs w:val="20"/>
        </w:rPr>
        <w:t>Івано-Франківськ,</w:t>
      </w:r>
      <w:r w:rsidRPr="001767D6">
        <w:rPr>
          <w:spacing w:val="-3"/>
          <w:sz w:val="20"/>
          <w:szCs w:val="20"/>
        </w:rPr>
        <w:t xml:space="preserve"> </w:t>
      </w:r>
      <w:r w:rsidRPr="001767D6">
        <w:rPr>
          <w:sz w:val="20"/>
          <w:szCs w:val="20"/>
        </w:rPr>
        <w:t>вул.</w:t>
      </w:r>
      <w:r w:rsidRPr="001767D6">
        <w:rPr>
          <w:spacing w:val="-5"/>
          <w:sz w:val="20"/>
          <w:szCs w:val="20"/>
        </w:rPr>
        <w:t xml:space="preserve"> </w:t>
      </w:r>
      <w:r w:rsidRPr="001767D6">
        <w:rPr>
          <w:sz w:val="20"/>
          <w:szCs w:val="20"/>
        </w:rPr>
        <w:t>Грушевського,</w:t>
      </w:r>
      <w:r w:rsidRPr="001767D6">
        <w:rPr>
          <w:spacing w:val="-5"/>
          <w:sz w:val="20"/>
          <w:szCs w:val="20"/>
        </w:rPr>
        <w:t xml:space="preserve"> </w:t>
      </w:r>
      <w:r w:rsidRPr="001767D6">
        <w:rPr>
          <w:sz w:val="20"/>
          <w:szCs w:val="20"/>
        </w:rPr>
        <w:t>18,</w:t>
      </w:r>
      <w:r w:rsidRPr="001767D6">
        <w:rPr>
          <w:spacing w:val="-5"/>
          <w:sz w:val="20"/>
          <w:szCs w:val="20"/>
        </w:rPr>
        <w:t xml:space="preserve"> </w:t>
      </w:r>
      <w:r w:rsidRPr="001767D6">
        <w:rPr>
          <w:sz w:val="20"/>
          <w:szCs w:val="20"/>
        </w:rPr>
        <w:t>тел.</w:t>
      </w:r>
      <w:r w:rsidRPr="001767D6">
        <w:rPr>
          <w:spacing w:val="-5"/>
          <w:sz w:val="20"/>
          <w:szCs w:val="20"/>
        </w:rPr>
        <w:t xml:space="preserve"> </w:t>
      </w:r>
      <w:r w:rsidRPr="001767D6">
        <w:rPr>
          <w:sz w:val="20"/>
          <w:szCs w:val="20"/>
        </w:rPr>
        <w:t xml:space="preserve">53-38-67 Е-mail: </w:t>
      </w:r>
      <w:hyperlink r:id="rId283">
        <w:r w:rsidRPr="001767D6">
          <w:rPr>
            <w:sz w:val="20"/>
            <w:szCs w:val="20"/>
          </w:rPr>
          <w:t>oblasna-prosvita@ukr.net</w:t>
        </w:r>
      </w:hyperlink>
    </w:p>
    <w:p w:rsidR="001D20B2" w:rsidRDefault="001D20B2" w:rsidP="001D20B2">
      <w:pPr>
        <w:spacing w:after="0"/>
        <w:ind w:firstLine="709"/>
        <w:jc w:val="center"/>
        <w:rPr>
          <w:sz w:val="20"/>
          <w:szCs w:val="20"/>
        </w:rPr>
      </w:pPr>
      <w:r w:rsidRPr="001767D6">
        <w:rPr>
          <w:i/>
          <w:sz w:val="20"/>
          <w:szCs w:val="20"/>
        </w:rPr>
        <w:t>Свідоцтво</w:t>
      </w:r>
      <w:r w:rsidRPr="001767D6">
        <w:rPr>
          <w:i/>
          <w:spacing w:val="-5"/>
          <w:sz w:val="20"/>
          <w:szCs w:val="20"/>
        </w:rPr>
        <w:t xml:space="preserve"> </w:t>
      </w:r>
      <w:r w:rsidRPr="001767D6">
        <w:rPr>
          <w:i/>
          <w:sz w:val="20"/>
          <w:szCs w:val="20"/>
        </w:rPr>
        <w:t>суб</w:t>
      </w:r>
      <w:r>
        <w:rPr>
          <w:sz w:val="20"/>
          <w:szCs w:val="20"/>
        </w:rPr>
        <w:t>’</w:t>
      </w:r>
      <w:r w:rsidRPr="001767D6">
        <w:rPr>
          <w:i/>
          <w:sz w:val="20"/>
          <w:szCs w:val="20"/>
        </w:rPr>
        <w:t>єкта</w:t>
      </w:r>
      <w:r w:rsidRPr="001767D6">
        <w:rPr>
          <w:i/>
          <w:spacing w:val="-4"/>
          <w:sz w:val="20"/>
          <w:szCs w:val="20"/>
        </w:rPr>
        <w:t xml:space="preserve"> </w:t>
      </w:r>
      <w:r w:rsidRPr="001767D6">
        <w:rPr>
          <w:i/>
          <w:sz w:val="20"/>
          <w:szCs w:val="20"/>
        </w:rPr>
        <w:t>видавничої</w:t>
      </w:r>
      <w:r w:rsidRPr="001767D6">
        <w:rPr>
          <w:i/>
          <w:spacing w:val="-7"/>
          <w:sz w:val="20"/>
          <w:szCs w:val="20"/>
        </w:rPr>
        <w:t xml:space="preserve"> </w:t>
      </w:r>
      <w:r w:rsidRPr="001767D6">
        <w:rPr>
          <w:i/>
          <w:sz w:val="20"/>
          <w:szCs w:val="20"/>
        </w:rPr>
        <w:t>справи</w:t>
      </w:r>
      <w:r w:rsidRPr="001767D6">
        <w:rPr>
          <w:i/>
          <w:spacing w:val="-2"/>
          <w:sz w:val="20"/>
          <w:szCs w:val="20"/>
        </w:rPr>
        <w:t xml:space="preserve"> </w:t>
      </w:r>
      <w:r w:rsidRPr="001767D6">
        <w:rPr>
          <w:i/>
          <w:sz w:val="20"/>
          <w:szCs w:val="20"/>
        </w:rPr>
        <w:t>ДК</w:t>
      </w:r>
      <w:r w:rsidRPr="001767D6">
        <w:rPr>
          <w:i/>
          <w:spacing w:val="-6"/>
          <w:sz w:val="20"/>
          <w:szCs w:val="20"/>
        </w:rPr>
        <w:t xml:space="preserve"> </w:t>
      </w:r>
      <w:r w:rsidRPr="001767D6">
        <w:rPr>
          <w:i/>
          <w:sz w:val="20"/>
          <w:szCs w:val="20"/>
        </w:rPr>
        <w:t>6170</w:t>
      </w:r>
      <w:r w:rsidRPr="001767D6">
        <w:rPr>
          <w:i/>
          <w:spacing w:val="-4"/>
          <w:sz w:val="20"/>
          <w:szCs w:val="20"/>
        </w:rPr>
        <w:t xml:space="preserve"> </w:t>
      </w:r>
      <w:r w:rsidRPr="001767D6">
        <w:rPr>
          <w:i/>
          <w:sz w:val="20"/>
          <w:szCs w:val="20"/>
        </w:rPr>
        <w:t>від</w:t>
      </w:r>
      <w:r w:rsidRPr="001767D6">
        <w:rPr>
          <w:i/>
          <w:spacing w:val="-6"/>
          <w:sz w:val="20"/>
          <w:szCs w:val="20"/>
        </w:rPr>
        <w:t xml:space="preserve"> </w:t>
      </w:r>
      <w:r w:rsidRPr="001767D6">
        <w:rPr>
          <w:i/>
          <w:spacing w:val="-2"/>
          <w:sz w:val="20"/>
          <w:szCs w:val="20"/>
        </w:rPr>
        <w:t>03.04.2018.</w:t>
      </w:r>
    </w:p>
    <w:p w:rsidR="001D20B2" w:rsidRPr="00931A5A" w:rsidRDefault="001D20B2" w:rsidP="001D20B2">
      <w:pPr>
        <w:rPr>
          <w:sz w:val="24"/>
          <w:szCs w:val="24"/>
        </w:rPr>
      </w:pPr>
    </w:p>
    <w:p w:rsidR="00A01BFE" w:rsidRPr="001D20B2" w:rsidRDefault="00A01BFE" w:rsidP="00791F50">
      <w:pPr>
        <w:widowControl w:val="0"/>
        <w:autoSpaceDE w:val="0"/>
        <w:autoSpaceDN w:val="0"/>
        <w:spacing w:after="480" w:line="240" w:lineRule="auto"/>
        <w:rPr>
          <w:bCs/>
          <w:sz w:val="24"/>
          <w:szCs w:val="24"/>
          <w:lang w:eastAsia="uk-UA"/>
        </w:rPr>
      </w:pPr>
    </w:p>
    <w:sectPr w:rsidR="00A01BFE" w:rsidRPr="001D20B2" w:rsidSect="00E32BE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B4F" w:rsidRDefault="003D6B4F" w:rsidP="00810A97">
      <w:pPr>
        <w:spacing w:after="0" w:line="240" w:lineRule="auto"/>
      </w:pPr>
      <w:r>
        <w:separator/>
      </w:r>
    </w:p>
  </w:endnote>
  <w:endnote w:type="continuationSeparator" w:id="0">
    <w:p w:rsidR="003D6B4F" w:rsidRDefault="003D6B4F" w:rsidP="00810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ptos">
    <w:altName w:val="Arial"/>
    <w:charset w:val="00"/>
    <w:family w:val="swiss"/>
    <w:pitch w:val="variable"/>
    <w:sig w:usb0="00000001" w:usb1="00000003"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48954"/>
      <w:docPartObj>
        <w:docPartGallery w:val="Page Numbers (Bottom of Page)"/>
        <w:docPartUnique/>
      </w:docPartObj>
    </w:sdtPr>
    <w:sdtEndPr/>
    <w:sdtContent>
      <w:p w:rsidR="00DA6CC0" w:rsidRDefault="00DA6CC0">
        <w:pPr>
          <w:pStyle w:val="a9"/>
          <w:jc w:val="center"/>
        </w:pPr>
        <w:r w:rsidRPr="004A6991">
          <w:rPr>
            <w:sz w:val="20"/>
            <w:szCs w:val="20"/>
          </w:rPr>
          <w:fldChar w:fldCharType="begin"/>
        </w:r>
        <w:r w:rsidRPr="004A6991">
          <w:rPr>
            <w:sz w:val="20"/>
            <w:szCs w:val="20"/>
          </w:rPr>
          <w:instrText>PAGE   \* MERGEFORMAT</w:instrText>
        </w:r>
        <w:r w:rsidRPr="004A6991">
          <w:rPr>
            <w:sz w:val="20"/>
            <w:szCs w:val="20"/>
          </w:rPr>
          <w:fldChar w:fldCharType="separate"/>
        </w:r>
        <w:r w:rsidR="005457EE" w:rsidRPr="005457EE">
          <w:rPr>
            <w:noProof/>
            <w:sz w:val="20"/>
            <w:szCs w:val="20"/>
            <w:lang w:val="ru-RU"/>
          </w:rPr>
          <w:t>2</w:t>
        </w:r>
        <w:r w:rsidRPr="004A6991">
          <w:rPr>
            <w:sz w:val="20"/>
            <w:szCs w:val="20"/>
          </w:rPr>
          <w:fldChar w:fldCharType="end"/>
        </w:r>
      </w:p>
    </w:sdtContent>
  </w:sdt>
  <w:p w:rsidR="00DA6CC0" w:rsidRDefault="00DA6CC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B4F" w:rsidRDefault="003D6B4F" w:rsidP="00810A97">
      <w:pPr>
        <w:spacing w:after="0" w:line="240" w:lineRule="auto"/>
      </w:pPr>
      <w:r>
        <w:separator/>
      </w:r>
    </w:p>
  </w:footnote>
  <w:footnote w:type="continuationSeparator" w:id="0">
    <w:p w:rsidR="003D6B4F" w:rsidRDefault="003D6B4F" w:rsidP="00810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CC0" w:rsidRPr="00763646" w:rsidRDefault="00DA6CC0" w:rsidP="00E32BE0">
    <w:pPr>
      <w:pStyle w:val="a7"/>
      <w:pBdr>
        <w:bottom w:val="thickThinSmallGap" w:sz="24" w:space="1" w:color="823B0B" w:themeColor="accent2" w:themeShade="7F"/>
      </w:pBdr>
      <w:tabs>
        <w:tab w:val="clear" w:pos="9639"/>
      </w:tabs>
      <w:ind w:firstLine="0"/>
      <w:rPr>
        <w:rFonts w:eastAsiaTheme="majorEastAsia"/>
        <w:i/>
        <w:sz w:val="20"/>
        <w:szCs w:val="20"/>
      </w:rPr>
    </w:pPr>
    <w:r w:rsidRPr="0029305E">
      <w:rPr>
        <w:rFonts w:eastAsiaTheme="majorEastAsia"/>
        <w:i/>
        <w:sz w:val="20"/>
        <w:szCs w:val="20"/>
      </w:rPr>
      <w:t>Вісник Прикарпатського університету. Фізи</w:t>
    </w:r>
    <w:r>
      <w:rPr>
        <w:rFonts w:eastAsiaTheme="majorEastAsia"/>
        <w:i/>
        <w:sz w:val="20"/>
        <w:szCs w:val="20"/>
      </w:rPr>
      <w:t>чна культура.</w:t>
    </w:r>
    <w:r>
      <w:rPr>
        <w:rFonts w:eastAsiaTheme="majorEastAsia"/>
        <w:i/>
        <w:sz w:val="20"/>
        <w:szCs w:val="20"/>
      </w:rPr>
      <w:tab/>
    </w:r>
    <w:r>
      <w:rPr>
        <w:rFonts w:eastAsiaTheme="majorEastAsia"/>
        <w:i/>
        <w:sz w:val="20"/>
        <w:szCs w:val="20"/>
      </w:rPr>
      <w:tab/>
    </w:r>
    <w:r w:rsidRPr="00763646">
      <w:rPr>
        <w:rStyle w:val="a5"/>
        <w:b w:val="0"/>
        <w:i/>
        <w:sz w:val="20"/>
        <w:szCs w:val="20"/>
        <w:shd w:val="clear" w:color="auto" w:fill="FFFFFF"/>
      </w:rPr>
      <w:t>ISSN 2078-3396 (Print)</w:t>
    </w:r>
  </w:p>
  <w:p w:rsidR="00DA6CC0" w:rsidRPr="00763646" w:rsidRDefault="00DA6CC0" w:rsidP="00E32BE0">
    <w:pPr>
      <w:pStyle w:val="a7"/>
      <w:pBdr>
        <w:bottom w:val="thickThinSmallGap" w:sz="24" w:space="1" w:color="823B0B" w:themeColor="accent2" w:themeShade="7F"/>
      </w:pBdr>
      <w:tabs>
        <w:tab w:val="clear" w:pos="4819"/>
        <w:tab w:val="clear" w:pos="9639"/>
      </w:tabs>
      <w:ind w:firstLine="0"/>
      <w:rPr>
        <w:rStyle w:val="a5"/>
        <w:b w:val="0"/>
        <w:i/>
        <w:sz w:val="20"/>
        <w:szCs w:val="20"/>
        <w:shd w:val="clear" w:color="auto" w:fill="FFFFFF"/>
      </w:rPr>
    </w:pPr>
    <w:r w:rsidRPr="00763646">
      <w:rPr>
        <w:rFonts w:eastAsiaTheme="majorEastAsia"/>
        <w:i/>
        <w:sz w:val="20"/>
        <w:szCs w:val="20"/>
      </w:rPr>
      <w:t xml:space="preserve">Вип. 46(2026) </w:t>
    </w:r>
    <w:r w:rsidRPr="00763646">
      <w:rPr>
        <w:rFonts w:eastAsiaTheme="majorEastAsia"/>
        <w:i/>
        <w:sz w:val="20"/>
        <w:szCs w:val="20"/>
      </w:rPr>
      <w:tab/>
    </w:r>
    <w:r w:rsidRPr="00763646">
      <w:rPr>
        <w:rFonts w:eastAsiaTheme="majorEastAsia"/>
        <w:i/>
        <w:sz w:val="20"/>
        <w:szCs w:val="20"/>
      </w:rPr>
      <w:tab/>
    </w:r>
    <w:r w:rsidRPr="00763646">
      <w:rPr>
        <w:rFonts w:eastAsiaTheme="majorEastAsia"/>
        <w:i/>
        <w:sz w:val="20"/>
        <w:szCs w:val="20"/>
      </w:rPr>
      <w:tab/>
    </w:r>
    <w:r w:rsidRPr="00763646">
      <w:rPr>
        <w:rFonts w:eastAsiaTheme="majorEastAsia"/>
        <w:i/>
        <w:sz w:val="20"/>
        <w:szCs w:val="20"/>
      </w:rPr>
      <w:tab/>
    </w:r>
    <w:r w:rsidRPr="00763646">
      <w:rPr>
        <w:rFonts w:eastAsiaTheme="majorEastAsia"/>
        <w:i/>
        <w:sz w:val="20"/>
        <w:szCs w:val="20"/>
      </w:rPr>
      <w:tab/>
    </w:r>
    <w:r w:rsidRPr="00763646">
      <w:rPr>
        <w:rFonts w:eastAsiaTheme="majorEastAsia"/>
        <w:i/>
        <w:sz w:val="20"/>
        <w:szCs w:val="20"/>
      </w:rPr>
      <w:tab/>
    </w:r>
    <w:r w:rsidRPr="00763646">
      <w:rPr>
        <w:rFonts w:eastAsiaTheme="majorEastAsia"/>
        <w:i/>
        <w:sz w:val="20"/>
        <w:szCs w:val="20"/>
      </w:rPr>
      <w:tab/>
    </w:r>
    <w:r w:rsidRPr="00763646">
      <w:rPr>
        <w:rFonts w:eastAsiaTheme="majorEastAsia"/>
        <w:i/>
        <w:sz w:val="20"/>
        <w:szCs w:val="20"/>
      </w:rPr>
      <w:tab/>
    </w:r>
    <w:r w:rsidRPr="00763646">
      <w:rPr>
        <w:rStyle w:val="a5"/>
        <w:b w:val="0"/>
        <w:i/>
        <w:sz w:val="20"/>
        <w:szCs w:val="20"/>
        <w:shd w:val="clear" w:color="auto" w:fill="FFFFFF"/>
      </w:rPr>
      <w:t xml:space="preserve">ISSN </w:t>
    </w:r>
    <w:r w:rsidRPr="00763646">
      <w:rPr>
        <w:rStyle w:val="a5"/>
        <w:rFonts w:eastAsiaTheme="majorEastAsia"/>
        <w:b w:val="0"/>
        <w:i/>
        <w:sz w:val="20"/>
        <w:szCs w:val="20"/>
      </w:rPr>
      <w:t>2411-4707</w:t>
    </w:r>
    <w:r w:rsidRPr="00763646">
      <w:rPr>
        <w:rStyle w:val="a5"/>
        <w:b w:val="0"/>
        <w:i/>
        <w:sz w:val="20"/>
        <w:szCs w:val="20"/>
        <w:shd w:val="clear" w:color="auto" w:fill="FFFFFF"/>
      </w:rPr>
      <w:t> (Online)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69B"/>
    <w:multiLevelType w:val="hybridMultilevel"/>
    <w:tmpl w:val="B4629E64"/>
    <w:lvl w:ilvl="0" w:tplc="72A6CB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3EC2CC0"/>
    <w:multiLevelType w:val="hybridMultilevel"/>
    <w:tmpl w:val="AFF4B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F465FA"/>
    <w:multiLevelType w:val="hybridMultilevel"/>
    <w:tmpl w:val="36027372"/>
    <w:lvl w:ilvl="0" w:tplc="56E4DC3C">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2299A"/>
    <w:multiLevelType w:val="hybridMultilevel"/>
    <w:tmpl w:val="6B341848"/>
    <w:lvl w:ilvl="0" w:tplc="BA5287F4">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AFC23AB"/>
    <w:multiLevelType w:val="hybridMultilevel"/>
    <w:tmpl w:val="14D8E4E8"/>
    <w:lvl w:ilvl="0" w:tplc="493A925E">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1DFC7706"/>
    <w:multiLevelType w:val="hybridMultilevel"/>
    <w:tmpl w:val="C7E674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514C1A"/>
    <w:multiLevelType w:val="hybridMultilevel"/>
    <w:tmpl w:val="AEACA348"/>
    <w:lvl w:ilvl="0" w:tplc="86ACFE80">
      <w:start w:val="1"/>
      <w:numFmt w:val="decimal"/>
      <w:lvlText w:val="%1."/>
      <w:lvlJc w:val="left"/>
      <w:pPr>
        <w:ind w:left="1005" w:hanging="360"/>
      </w:pPr>
      <w:rPr>
        <w:rFonts w:ascii="Times New Roman" w:eastAsia="Times New Roman" w:hAnsi="Times New Roman" w:cs="Times New Roman" w:hint="default"/>
        <w:b w:val="0"/>
        <w:bCs w:val="0"/>
        <w:i w:val="0"/>
        <w:iCs w:val="0"/>
        <w:spacing w:val="0"/>
        <w:w w:val="100"/>
        <w:sz w:val="22"/>
        <w:szCs w:val="22"/>
      </w:rPr>
    </w:lvl>
    <w:lvl w:ilvl="1" w:tplc="12C2141A">
      <w:numFmt w:val="bullet"/>
      <w:lvlText w:val="o"/>
      <w:lvlJc w:val="left"/>
      <w:pPr>
        <w:ind w:left="1005" w:hanging="360"/>
      </w:pPr>
      <w:rPr>
        <w:rFonts w:ascii="Courier New" w:eastAsia="Times New Roman" w:hAnsi="Courier New" w:hint="default"/>
        <w:b w:val="0"/>
        <w:i w:val="0"/>
        <w:spacing w:val="0"/>
        <w:w w:val="99"/>
        <w:sz w:val="20"/>
      </w:rPr>
    </w:lvl>
    <w:lvl w:ilvl="2" w:tplc="762AB9FA">
      <w:numFmt w:val="bullet"/>
      <w:lvlText w:val="•"/>
      <w:lvlJc w:val="left"/>
      <w:pPr>
        <w:ind w:left="2784" w:hanging="360"/>
      </w:pPr>
      <w:rPr>
        <w:rFonts w:hint="default"/>
      </w:rPr>
    </w:lvl>
    <w:lvl w:ilvl="3" w:tplc="509CF790">
      <w:numFmt w:val="bullet"/>
      <w:lvlText w:val="•"/>
      <w:lvlJc w:val="left"/>
      <w:pPr>
        <w:ind w:left="3677" w:hanging="360"/>
      </w:pPr>
      <w:rPr>
        <w:rFonts w:hint="default"/>
      </w:rPr>
    </w:lvl>
    <w:lvl w:ilvl="4" w:tplc="E6BEA8F8">
      <w:numFmt w:val="bullet"/>
      <w:lvlText w:val="•"/>
      <w:lvlJc w:val="left"/>
      <w:pPr>
        <w:ind w:left="4569" w:hanging="360"/>
      </w:pPr>
      <w:rPr>
        <w:rFonts w:hint="default"/>
      </w:rPr>
    </w:lvl>
    <w:lvl w:ilvl="5" w:tplc="AA60CCE4">
      <w:numFmt w:val="bullet"/>
      <w:lvlText w:val="•"/>
      <w:lvlJc w:val="left"/>
      <w:pPr>
        <w:ind w:left="5461" w:hanging="360"/>
      </w:pPr>
      <w:rPr>
        <w:rFonts w:hint="default"/>
      </w:rPr>
    </w:lvl>
    <w:lvl w:ilvl="6" w:tplc="FB0A3DF8">
      <w:numFmt w:val="bullet"/>
      <w:lvlText w:val="•"/>
      <w:lvlJc w:val="left"/>
      <w:pPr>
        <w:ind w:left="6354" w:hanging="360"/>
      </w:pPr>
      <w:rPr>
        <w:rFonts w:hint="default"/>
      </w:rPr>
    </w:lvl>
    <w:lvl w:ilvl="7" w:tplc="C98E06C0">
      <w:numFmt w:val="bullet"/>
      <w:lvlText w:val="•"/>
      <w:lvlJc w:val="left"/>
      <w:pPr>
        <w:ind w:left="7246" w:hanging="360"/>
      </w:pPr>
      <w:rPr>
        <w:rFonts w:hint="default"/>
      </w:rPr>
    </w:lvl>
    <w:lvl w:ilvl="8" w:tplc="6E54E6DE">
      <w:numFmt w:val="bullet"/>
      <w:lvlText w:val="•"/>
      <w:lvlJc w:val="left"/>
      <w:pPr>
        <w:ind w:left="8138" w:hanging="360"/>
      </w:pPr>
      <w:rPr>
        <w:rFonts w:hint="default"/>
      </w:rPr>
    </w:lvl>
  </w:abstractNum>
  <w:abstractNum w:abstractNumId="7" w15:restartNumberingAfterBreak="0">
    <w:nsid w:val="268035F5"/>
    <w:multiLevelType w:val="hybridMultilevel"/>
    <w:tmpl w:val="3F4A476A"/>
    <w:lvl w:ilvl="0" w:tplc="1000000F">
      <w:start w:val="1"/>
      <w:numFmt w:val="decimal"/>
      <w:lvlText w:val="%1."/>
      <w:lvlJc w:val="left"/>
      <w:pPr>
        <w:ind w:left="1440" w:hanging="360"/>
      </w:pPr>
    </w:lvl>
    <w:lvl w:ilvl="1" w:tplc="3F9EE5CE">
      <w:numFmt w:val="bullet"/>
      <w:lvlText w:val=""/>
      <w:lvlJc w:val="left"/>
      <w:pPr>
        <w:ind w:left="2265" w:hanging="465"/>
      </w:pPr>
      <w:rPr>
        <w:rFonts w:ascii="Times New Roman" w:eastAsia="Times New Roman" w:hAnsi="Times New Roman" w:cs="Times New Roman" w:hint="default"/>
      </w:r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8" w15:restartNumberingAfterBreak="0">
    <w:nsid w:val="2699773A"/>
    <w:multiLevelType w:val="hybridMultilevel"/>
    <w:tmpl w:val="DE10BE06"/>
    <w:lvl w:ilvl="0" w:tplc="958E06E6">
      <w:start w:val="1"/>
      <w:numFmt w:val="decimal"/>
      <w:lvlText w:val="%1."/>
      <w:lvlJc w:val="left"/>
      <w:pPr>
        <w:ind w:left="192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7CE3ACC"/>
    <w:multiLevelType w:val="hybridMultilevel"/>
    <w:tmpl w:val="22A0C758"/>
    <w:lvl w:ilvl="0" w:tplc="34D8C076">
      <w:start w:val="1"/>
      <w:numFmt w:val="decimal"/>
      <w:lvlText w:val="%1."/>
      <w:lvlJc w:val="left"/>
      <w:pPr>
        <w:ind w:left="1429" w:hanging="360"/>
      </w:pPr>
      <w:rPr>
        <w:rFonts w:hint="default"/>
        <w:sz w:val="20"/>
        <w:szCs w:val="2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280D471F"/>
    <w:multiLevelType w:val="hybridMultilevel"/>
    <w:tmpl w:val="789C6AFA"/>
    <w:lvl w:ilvl="0" w:tplc="1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064345"/>
    <w:multiLevelType w:val="multilevel"/>
    <w:tmpl w:val="C890E7CE"/>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587CC5"/>
    <w:multiLevelType w:val="hybridMultilevel"/>
    <w:tmpl w:val="76C6EF68"/>
    <w:lvl w:ilvl="0" w:tplc="FC34193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E1C13AF"/>
    <w:multiLevelType w:val="multilevel"/>
    <w:tmpl w:val="B9D24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C02039"/>
    <w:multiLevelType w:val="hybridMultilevel"/>
    <w:tmpl w:val="EAC8A7DA"/>
    <w:lvl w:ilvl="0" w:tplc="DDDA7D32">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02D66A8"/>
    <w:multiLevelType w:val="hybridMultilevel"/>
    <w:tmpl w:val="12F817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1F7155C"/>
    <w:multiLevelType w:val="hybridMultilevel"/>
    <w:tmpl w:val="E496ECE6"/>
    <w:lvl w:ilvl="0" w:tplc="0422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6E3FA1"/>
    <w:multiLevelType w:val="hybridMultilevel"/>
    <w:tmpl w:val="6460182E"/>
    <w:lvl w:ilvl="0" w:tplc="493A925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385375DA"/>
    <w:multiLevelType w:val="hybridMultilevel"/>
    <w:tmpl w:val="6414C67C"/>
    <w:lvl w:ilvl="0" w:tplc="04BC1F5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CC934CA"/>
    <w:multiLevelType w:val="hybridMultilevel"/>
    <w:tmpl w:val="F4F4D652"/>
    <w:lvl w:ilvl="0" w:tplc="493A925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2516380"/>
    <w:multiLevelType w:val="hybridMultilevel"/>
    <w:tmpl w:val="FB327366"/>
    <w:lvl w:ilvl="0" w:tplc="0422000D">
      <w:start w:val="1"/>
      <w:numFmt w:val="bullet"/>
      <w:lvlText w:val=""/>
      <w:lvlJc w:val="left"/>
      <w:pPr>
        <w:ind w:left="2149" w:hanging="360"/>
      </w:pPr>
      <w:rPr>
        <w:rFonts w:ascii="Wingdings" w:hAnsi="Wingdings"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21" w15:restartNumberingAfterBreak="0">
    <w:nsid w:val="43C81CBC"/>
    <w:multiLevelType w:val="hybridMultilevel"/>
    <w:tmpl w:val="9D927B06"/>
    <w:lvl w:ilvl="0" w:tplc="99FE526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A242FD"/>
    <w:multiLevelType w:val="hybridMultilevel"/>
    <w:tmpl w:val="581452B6"/>
    <w:lvl w:ilvl="0" w:tplc="AB2893A8">
      <w:start w:val="1"/>
      <w:numFmt w:val="decimal"/>
      <w:lvlText w:val="%1."/>
      <w:lvlJc w:val="left"/>
      <w:pPr>
        <w:ind w:left="1429" w:hanging="360"/>
      </w:pPr>
      <w:rPr>
        <w:rFonts w:ascii="Times New Roman" w:hAnsi="Times New Roman" w:cs="Times New Roman" w:hint="default"/>
        <w:sz w:val="20"/>
        <w:szCs w:val="2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15:restartNumberingAfterBreak="0">
    <w:nsid w:val="49C37F4E"/>
    <w:multiLevelType w:val="hybridMultilevel"/>
    <w:tmpl w:val="2DD6C562"/>
    <w:lvl w:ilvl="0" w:tplc="FFFFFFFF">
      <w:start w:val="1"/>
      <w:numFmt w:val="decimal"/>
      <w:lvlText w:val="%1."/>
      <w:lvlJc w:val="left"/>
      <w:pPr>
        <w:ind w:left="1440" w:hanging="360"/>
      </w:pPr>
    </w:lvl>
    <w:lvl w:ilvl="1" w:tplc="1000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AD935AB"/>
    <w:multiLevelType w:val="hybridMultilevel"/>
    <w:tmpl w:val="26B08E4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C1E6E46"/>
    <w:multiLevelType w:val="multilevel"/>
    <w:tmpl w:val="D5C68B2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257E36"/>
    <w:multiLevelType w:val="hybridMultilevel"/>
    <w:tmpl w:val="6DA486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01753CC"/>
    <w:multiLevelType w:val="multilevel"/>
    <w:tmpl w:val="221C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046173"/>
    <w:multiLevelType w:val="hybridMultilevel"/>
    <w:tmpl w:val="88468958"/>
    <w:styleLink w:val="1"/>
    <w:lvl w:ilvl="0" w:tplc="6540E50E">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F844E688">
      <w:start w:val="1"/>
      <w:numFmt w:val="decimal"/>
      <w:lvlText w:val="%2."/>
      <w:lvlJc w:val="left"/>
      <w:rPr>
        <w:rFonts w:hAnsi="Arial Unicode MS" w:cs="Times New Roman"/>
        <w:caps w:val="0"/>
        <w:smallCaps w:val="0"/>
        <w:strike w:val="0"/>
        <w:dstrike w:val="0"/>
        <w:color w:val="000000"/>
        <w:spacing w:val="0"/>
        <w:w w:val="100"/>
        <w:kern w:val="0"/>
        <w:position w:val="0"/>
        <w:vertAlign w:val="baseline"/>
      </w:rPr>
    </w:lvl>
    <w:lvl w:ilvl="2" w:tplc="83FE4C72">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084A53AE">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BCCA2410">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07267B08">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6BBA3D1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31CCC12E">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95A0B8DA">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54DE1AB4"/>
    <w:multiLevelType w:val="hybridMultilevel"/>
    <w:tmpl w:val="4454B09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0" w15:restartNumberingAfterBreak="0">
    <w:nsid w:val="55FB3409"/>
    <w:multiLevelType w:val="hybridMultilevel"/>
    <w:tmpl w:val="03F2B26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5A5E1494"/>
    <w:multiLevelType w:val="hybridMultilevel"/>
    <w:tmpl w:val="2EEEDF2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D2A5396"/>
    <w:multiLevelType w:val="multilevel"/>
    <w:tmpl w:val="24566F70"/>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944FE0"/>
    <w:multiLevelType w:val="multilevel"/>
    <w:tmpl w:val="5D944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692037"/>
    <w:multiLevelType w:val="hybridMultilevel"/>
    <w:tmpl w:val="1682CA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67318D3"/>
    <w:multiLevelType w:val="hybridMultilevel"/>
    <w:tmpl w:val="88468958"/>
    <w:numStyleLink w:val="1"/>
  </w:abstractNum>
  <w:abstractNum w:abstractNumId="36" w15:restartNumberingAfterBreak="0">
    <w:nsid w:val="70733244"/>
    <w:multiLevelType w:val="hybridMultilevel"/>
    <w:tmpl w:val="CDC49280"/>
    <w:lvl w:ilvl="0" w:tplc="CC5A46A2">
      <w:start w:val="1"/>
      <w:numFmt w:val="decimal"/>
      <w:lvlText w:val="%1."/>
      <w:lvlJc w:val="left"/>
      <w:pPr>
        <w:ind w:left="720" w:hanging="360"/>
      </w:pPr>
      <w:rPr>
        <w:rFonts w:ascii="Times New Roman" w:hAnsi="Times New Roman" w:cs="Times New Roman" w:hint="default"/>
        <w:sz w:val="20"/>
        <w:szCs w:val="20"/>
      </w:rPr>
    </w:lvl>
    <w:lvl w:ilvl="1" w:tplc="42565D46">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867514D"/>
    <w:multiLevelType w:val="hybridMultilevel"/>
    <w:tmpl w:val="D20A7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8877F5"/>
    <w:multiLevelType w:val="hybridMultilevel"/>
    <w:tmpl w:val="65CCA356"/>
    <w:lvl w:ilvl="0" w:tplc="BA585AC4">
      <w:start w:val="1"/>
      <w:numFmt w:val="decimal"/>
      <w:lvlText w:val="%1."/>
      <w:lvlJc w:val="left"/>
      <w:pPr>
        <w:ind w:left="1070" w:hanging="360"/>
      </w:pPr>
      <w:rPr>
        <w:rFonts w:cs="Times New Roman" w:hint="default"/>
        <w:b w:val="0"/>
        <w:spacing w:val="0"/>
        <w:w w:val="100"/>
      </w:rPr>
    </w:lvl>
    <w:lvl w:ilvl="1" w:tplc="1278CB5C">
      <w:numFmt w:val="bullet"/>
      <w:lvlText w:val="•"/>
      <w:lvlJc w:val="left"/>
      <w:pPr>
        <w:ind w:left="1892" w:hanging="360"/>
      </w:pPr>
      <w:rPr>
        <w:rFonts w:hint="default"/>
      </w:rPr>
    </w:lvl>
    <w:lvl w:ilvl="2" w:tplc="1E864A4C">
      <w:numFmt w:val="bullet"/>
      <w:lvlText w:val="•"/>
      <w:lvlJc w:val="left"/>
      <w:pPr>
        <w:ind w:left="2784" w:hanging="360"/>
      </w:pPr>
      <w:rPr>
        <w:rFonts w:hint="default"/>
      </w:rPr>
    </w:lvl>
    <w:lvl w:ilvl="3" w:tplc="D2A6EAFA">
      <w:numFmt w:val="bullet"/>
      <w:lvlText w:val="•"/>
      <w:lvlJc w:val="left"/>
      <w:pPr>
        <w:ind w:left="3677" w:hanging="360"/>
      </w:pPr>
      <w:rPr>
        <w:rFonts w:hint="default"/>
      </w:rPr>
    </w:lvl>
    <w:lvl w:ilvl="4" w:tplc="2196FE7A">
      <w:numFmt w:val="bullet"/>
      <w:lvlText w:val="•"/>
      <w:lvlJc w:val="left"/>
      <w:pPr>
        <w:ind w:left="4569" w:hanging="360"/>
      </w:pPr>
      <w:rPr>
        <w:rFonts w:hint="default"/>
      </w:rPr>
    </w:lvl>
    <w:lvl w:ilvl="5" w:tplc="5CC08AE0">
      <w:numFmt w:val="bullet"/>
      <w:lvlText w:val="•"/>
      <w:lvlJc w:val="left"/>
      <w:pPr>
        <w:ind w:left="5461" w:hanging="360"/>
      </w:pPr>
      <w:rPr>
        <w:rFonts w:hint="default"/>
      </w:rPr>
    </w:lvl>
    <w:lvl w:ilvl="6" w:tplc="5C14BFE2">
      <w:numFmt w:val="bullet"/>
      <w:lvlText w:val="•"/>
      <w:lvlJc w:val="left"/>
      <w:pPr>
        <w:ind w:left="6354" w:hanging="360"/>
      </w:pPr>
      <w:rPr>
        <w:rFonts w:hint="default"/>
      </w:rPr>
    </w:lvl>
    <w:lvl w:ilvl="7" w:tplc="BE3ED568">
      <w:numFmt w:val="bullet"/>
      <w:lvlText w:val="•"/>
      <w:lvlJc w:val="left"/>
      <w:pPr>
        <w:ind w:left="7246" w:hanging="360"/>
      </w:pPr>
      <w:rPr>
        <w:rFonts w:hint="default"/>
      </w:rPr>
    </w:lvl>
    <w:lvl w:ilvl="8" w:tplc="B2609CF8">
      <w:numFmt w:val="bullet"/>
      <w:lvlText w:val="•"/>
      <w:lvlJc w:val="left"/>
      <w:pPr>
        <w:ind w:left="8138" w:hanging="360"/>
      </w:pPr>
      <w:rPr>
        <w:rFonts w:hint="default"/>
      </w:rPr>
    </w:lvl>
  </w:abstractNum>
  <w:num w:numId="1">
    <w:abstractNumId w:val="36"/>
  </w:num>
  <w:num w:numId="2">
    <w:abstractNumId w:val="25"/>
  </w:num>
  <w:num w:numId="3">
    <w:abstractNumId w:val="30"/>
  </w:num>
  <w:num w:numId="4">
    <w:abstractNumId w:val="17"/>
  </w:num>
  <w:num w:numId="5">
    <w:abstractNumId w:val="33"/>
  </w:num>
  <w:num w:numId="6">
    <w:abstractNumId w:val="22"/>
  </w:num>
  <w:num w:numId="7">
    <w:abstractNumId w:val="29"/>
  </w:num>
  <w:num w:numId="8">
    <w:abstractNumId w:val="10"/>
  </w:num>
  <w:num w:numId="9">
    <w:abstractNumId w:val="1"/>
  </w:num>
  <w:num w:numId="10">
    <w:abstractNumId w:val="0"/>
  </w:num>
  <w:num w:numId="11">
    <w:abstractNumId w:val="3"/>
  </w:num>
  <w:num w:numId="12">
    <w:abstractNumId w:val="7"/>
  </w:num>
  <w:num w:numId="13">
    <w:abstractNumId w:val="23"/>
  </w:num>
  <w:num w:numId="14">
    <w:abstractNumId w:val="32"/>
  </w:num>
  <w:num w:numId="15">
    <w:abstractNumId w:val="11"/>
  </w:num>
  <w:num w:numId="16">
    <w:abstractNumId w:val="12"/>
  </w:num>
  <w:num w:numId="17">
    <w:abstractNumId w:val="24"/>
  </w:num>
  <w:num w:numId="18">
    <w:abstractNumId w:val="20"/>
  </w:num>
  <w:num w:numId="19">
    <w:abstractNumId w:val="14"/>
  </w:num>
  <w:num w:numId="20">
    <w:abstractNumId w:val="8"/>
  </w:num>
  <w:num w:numId="21">
    <w:abstractNumId w:val="18"/>
  </w:num>
  <w:num w:numId="22">
    <w:abstractNumId w:val="5"/>
  </w:num>
  <w:num w:numId="23">
    <w:abstractNumId w:val="34"/>
  </w:num>
  <w:num w:numId="24">
    <w:abstractNumId w:val="21"/>
  </w:num>
  <w:num w:numId="25">
    <w:abstractNumId w:val="31"/>
  </w:num>
  <w:num w:numId="26">
    <w:abstractNumId w:val="27"/>
  </w:num>
  <w:num w:numId="27">
    <w:abstractNumId w:val="26"/>
  </w:num>
  <w:num w:numId="28">
    <w:abstractNumId w:val="15"/>
  </w:num>
  <w:num w:numId="29">
    <w:abstractNumId w:val="16"/>
  </w:num>
  <w:num w:numId="30">
    <w:abstractNumId w:val="37"/>
  </w:num>
  <w:num w:numId="31">
    <w:abstractNumId w:val="2"/>
  </w:num>
  <w:num w:numId="32">
    <w:abstractNumId w:val="4"/>
  </w:num>
  <w:num w:numId="33">
    <w:abstractNumId w:val="19"/>
  </w:num>
  <w:num w:numId="34">
    <w:abstractNumId w:val="28"/>
  </w:num>
  <w:num w:numId="35">
    <w:abstractNumId w:val="35"/>
    <w:lvlOverride w:ilvl="0">
      <w:lvl w:ilvl="0" w:tplc="A7249DEA">
        <w:start w:val="1"/>
        <w:numFmt w:val="decimal"/>
        <w:lvlText w:val="%1."/>
        <w:lvlJc w:val="left"/>
        <w:pPr>
          <w:tabs>
            <w:tab w:val="left" w:pos="426"/>
            <w:tab w:val="num" w:pos="1416"/>
          </w:tabs>
          <w:ind w:left="707" w:firstLine="2"/>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lvl w:ilvl="1" w:tplc="C75CD0FC">
        <w:start w:val="1"/>
        <w:numFmt w:val="decimal"/>
        <w:lvlText w:val="%2."/>
        <w:lvlJc w:val="left"/>
        <w:pPr>
          <w:tabs>
            <w:tab w:val="left" w:pos="426"/>
            <w:tab w:val="num" w:pos="1783"/>
          </w:tabs>
          <w:ind w:left="1074" w:firstLine="14"/>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lvl w:ilvl="2" w:tplc="F2C896C0">
        <w:start w:val="1"/>
        <w:numFmt w:val="decimal"/>
        <w:lvlText w:val="%3."/>
        <w:lvlJc w:val="left"/>
        <w:pPr>
          <w:tabs>
            <w:tab w:val="left" w:pos="426"/>
            <w:tab w:val="num" w:pos="2149"/>
          </w:tabs>
          <w:ind w:left="1440" w:firstLine="2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lvl w:ilvl="3" w:tplc="D4B84ECA">
        <w:start w:val="1"/>
        <w:numFmt w:val="decimal"/>
        <w:lvlText w:val="%4."/>
        <w:lvlJc w:val="left"/>
        <w:pPr>
          <w:tabs>
            <w:tab w:val="left" w:pos="426"/>
            <w:tab w:val="num" w:pos="2869"/>
          </w:tabs>
          <w:ind w:left="2160" w:firstLine="38"/>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lvl w:ilvl="4" w:tplc="EF6EE6A4">
        <w:start w:val="1"/>
        <w:numFmt w:val="decimal"/>
        <w:lvlText w:val="%5."/>
        <w:lvlJc w:val="left"/>
        <w:pPr>
          <w:tabs>
            <w:tab w:val="left" w:pos="426"/>
            <w:tab w:val="num" w:pos="3589"/>
          </w:tabs>
          <w:ind w:left="2880" w:firstLine="5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lvl w:ilvl="5" w:tplc="B20614E2">
        <w:start w:val="1"/>
        <w:numFmt w:val="decimal"/>
        <w:lvlText w:val="%6."/>
        <w:lvlJc w:val="left"/>
        <w:pPr>
          <w:tabs>
            <w:tab w:val="left" w:pos="426"/>
            <w:tab w:val="num" w:pos="4309"/>
          </w:tabs>
          <w:ind w:left="3600" w:firstLine="62"/>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lvl w:ilvl="6" w:tplc="7994AF06">
        <w:start w:val="1"/>
        <w:numFmt w:val="decimal"/>
        <w:lvlText w:val="%7."/>
        <w:lvlJc w:val="left"/>
        <w:pPr>
          <w:tabs>
            <w:tab w:val="left" w:pos="426"/>
            <w:tab w:val="num" w:pos="5029"/>
          </w:tabs>
          <w:ind w:left="4320" w:firstLine="74"/>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lvl w:ilvl="7" w:tplc="16AC0E96">
        <w:start w:val="1"/>
        <w:numFmt w:val="decimal"/>
        <w:lvlText w:val="%8."/>
        <w:lvlJc w:val="left"/>
        <w:pPr>
          <w:tabs>
            <w:tab w:val="left" w:pos="426"/>
            <w:tab w:val="num" w:pos="5749"/>
          </w:tabs>
          <w:ind w:left="5040" w:firstLine="8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lvl w:ilvl="8" w:tplc="D72684BC">
        <w:start w:val="1"/>
        <w:numFmt w:val="decimal"/>
        <w:lvlText w:val="%9."/>
        <w:lvlJc w:val="left"/>
        <w:pPr>
          <w:tabs>
            <w:tab w:val="left" w:pos="426"/>
            <w:tab w:val="num" w:pos="6469"/>
          </w:tabs>
          <w:ind w:left="5760" w:firstLine="98"/>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6">
    <w:abstractNumId w:val="38"/>
  </w:num>
  <w:num w:numId="37">
    <w:abstractNumId w:val="6"/>
  </w:num>
  <w:num w:numId="38">
    <w:abstractNumId w:val="1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B25AB"/>
    <w:rsid w:val="000353BA"/>
    <w:rsid w:val="0004467E"/>
    <w:rsid w:val="00076B11"/>
    <w:rsid w:val="000E5F67"/>
    <w:rsid w:val="001D20B2"/>
    <w:rsid w:val="00216701"/>
    <w:rsid w:val="0022096B"/>
    <w:rsid w:val="002923D6"/>
    <w:rsid w:val="002D495E"/>
    <w:rsid w:val="002F7167"/>
    <w:rsid w:val="003811B7"/>
    <w:rsid w:val="003D5A21"/>
    <w:rsid w:val="003D6B4F"/>
    <w:rsid w:val="00430A25"/>
    <w:rsid w:val="004C1B48"/>
    <w:rsid w:val="005457EE"/>
    <w:rsid w:val="00577D33"/>
    <w:rsid w:val="005875A4"/>
    <w:rsid w:val="006206D2"/>
    <w:rsid w:val="006425EE"/>
    <w:rsid w:val="0065379F"/>
    <w:rsid w:val="006B25AB"/>
    <w:rsid w:val="006D3BDB"/>
    <w:rsid w:val="007132C3"/>
    <w:rsid w:val="007640A1"/>
    <w:rsid w:val="00791F50"/>
    <w:rsid w:val="00796890"/>
    <w:rsid w:val="007A5447"/>
    <w:rsid w:val="00802413"/>
    <w:rsid w:val="00810A97"/>
    <w:rsid w:val="00895032"/>
    <w:rsid w:val="008D67ED"/>
    <w:rsid w:val="008F4F34"/>
    <w:rsid w:val="00934E58"/>
    <w:rsid w:val="00977334"/>
    <w:rsid w:val="009A1C6E"/>
    <w:rsid w:val="009C4798"/>
    <w:rsid w:val="00A01BFE"/>
    <w:rsid w:val="00A1309E"/>
    <w:rsid w:val="00A432F3"/>
    <w:rsid w:val="00A47F46"/>
    <w:rsid w:val="00B17843"/>
    <w:rsid w:val="00B26CEE"/>
    <w:rsid w:val="00B60EB5"/>
    <w:rsid w:val="00BC57E2"/>
    <w:rsid w:val="00BD096F"/>
    <w:rsid w:val="00C028CF"/>
    <w:rsid w:val="00C07F42"/>
    <w:rsid w:val="00CA2F07"/>
    <w:rsid w:val="00D201D4"/>
    <w:rsid w:val="00D97092"/>
    <w:rsid w:val="00DA5C11"/>
    <w:rsid w:val="00DA6CC0"/>
    <w:rsid w:val="00E32BE0"/>
    <w:rsid w:val="00E60CED"/>
    <w:rsid w:val="00EC54E1"/>
    <w:rsid w:val="00F0038D"/>
    <w:rsid w:val="00F25D44"/>
    <w:rsid w:val="00FE76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DC2141-70CB-49AC-8CF2-0FFEE3DC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5AB"/>
    <w:pPr>
      <w:spacing w:after="200" w:line="276" w:lineRule="auto"/>
    </w:pPr>
    <w:rPr>
      <w:rFonts w:ascii="Times New Roman" w:eastAsia="Times New Roman" w:hAnsi="Times New Roman" w:cs="Times New Roman"/>
      <w:sz w:val="28"/>
      <w:szCs w:val="28"/>
    </w:rPr>
  </w:style>
  <w:style w:type="paragraph" w:styleId="10">
    <w:name w:val="heading 1"/>
    <w:next w:val="a"/>
    <w:link w:val="11"/>
    <w:uiPriority w:val="9"/>
    <w:qFormat/>
    <w:rsid w:val="00E32BE0"/>
    <w:pPr>
      <w:spacing w:beforeAutospacing="1" w:after="0" w:afterAutospacing="1" w:line="240" w:lineRule="auto"/>
      <w:outlineLvl w:val="0"/>
    </w:pPr>
    <w:rPr>
      <w:rFonts w:ascii="SimSun" w:eastAsia="SimSun" w:hAnsi="SimSun" w:cs="Times New Roman" w:hint="eastAsia"/>
      <w:b/>
      <w:bCs/>
      <w:kern w:val="44"/>
      <w:sz w:val="48"/>
      <w:szCs w:val="48"/>
      <w:lang w:val="en-US" w:eastAsia="zh-CN"/>
    </w:rPr>
  </w:style>
  <w:style w:type="paragraph" w:styleId="2">
    <w:name w:val="heading 2"/>
    <w:next w:val="a"/>
    <w:link w:val="20"/>
    <w:uiPriority w:val="9"/>
    <w:semiHidden/>
    <w:unhideWhenUsed/>
    <w:qFormat/>
    <w:rsid w:val="00E32BE0"/>
    <w:pPr>
      <w:spacing w:beforeAutospacing="1" w:after="0" w:afterAutospacing="1" w:line="240" w:lineRule="auto"/>
      <w:outlineLvl w:val="1"/>
    </w:pPr>
    <w:rPr>
      <w:rFonts w:ascii="SimSun" w:eastAsia="SimSun" w:hAnsi="SimSun" w:cs="Times New Roman" w:hint="eastAsia"/>
      <w:b/>
      <w:bCs/>
      <w:sz w:val="36"/>
      <w:szCs w:val="36"/>
      <w:lang w:val="en-US" w:eastAsia="zh-CN"/>
    </w:rPr>
  </w:style>
  <w:style w:type="paragraph" w:styleId="3">
    <w:name w:val="heading 3"/>
    <w:basedOn w:val="a"/>
    <w:next w:val="a"/>
    <w:link w:val="30"/>
    <w:uiPriority w:val="9"/>
    <w:unhideWhenUsed/>
    <w:qFormat/>
    <w:rsid w:val="002923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60EB5"/>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rPr>
  </w:style>
  <w:style w:type="paragraph" w:styleId="5">
    <w:name w:val="heading 5"/>
    <w:basedOn w:val="a"/>
    <w:next w:val="a"/>
    <w:link w:val="50"/>
    <w:uiPriority w:val="9"/>
    <w:semiHidden/>
    <w:unhideWhenUsed/>
    <w:qFormat/>
    <w:rsid w:val="00B60EB5"/>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rPr>
  </w:style>
  <w:style w:type="paragraph" w:styleId="6">
    <w:name w:val="heading 6"/>
    <w:basedOn w:val="a"/>
    <w:next w:val="a"/>
    <w:link w:val="60"/>
    <w:uiPriority w:val="9"/>
    <w:semiHidden/>
    <w:unhideWhenUsed/>
    <w:qFormat/>
    <w:rsid w:val="00B60EB5"/>
    <w:pPr>
      <w:keepNext/>
      <w:keepLines/>
      <w:spacing w:before="40" w:after="0" w:line="259" w:lineRule="auto"/>
      <w:outlineLvl w:val="5"/>
    </w:pPr>
    <w:rPr>
      <w:rFonts w:asciiTheme="minorHAnsi" w:eastAsiaTheme="majorEastAsia" w:hAnsiTheme="minorHAnsi" w:cstheme="majorBidi"/>
      <w:i/>
      <w:iCs/>
      <w:color w:val="595959" w:themeColor="text1" w:themeTint="A6"/>
      <w:sz w:val="22"/>
      <w:szCs w:val="22"/>
    </w:rPr>
  </w:style>
  <w:style w:type="paragraph" w:styleId="7">
    <w:name w:val="heading 7"/>
    <w:basedOn w:val="a"/>
    <w:next w:val="a"/>
    <w:link w:val="70"/>
    <w:uiPriority w:val="9"/>
    <w:semiHidden/>
    <w:unhideWhenUsed/>
    <w:qFormat/>
    <w:rsid w:val="00B60EB5"/>
    <w:pPr>
      <w:keepNext/>
      <w:keepLines/>
      <w:spacing w:before="40" w:after="0" w:line="259" w:lineRule="auto"/>
      <w:outlineLvl w:val="6"/>
    </w:pPr>
    <w:rPr>
      <w:rFonts w:asciiTheme="minorHAnsi" w:eastAsiaTheme="majorEastAsia" w:hAnsiTheme="minorHAnsi" w:cstheme="majorBidi"/>
      <w:color w:val="595959" w:themeColor="text1" w:themeTint="A6"/>
      <w:sz w:val="22"/>
      <w:szCs w:val="22"/>
    </w:rPr>
  </w:style>
  <w:style w:type="paragraph" w:styleId="8">
    <w:name w:val="heading 8"/>
    <w:basedOn w:val="a"/>
    <w:next w:val="a"/>
    <w:link w:val="80"/>
    <w:uiPriority w:val="9"/>
    <w:semiHidden/>
    <w:unhideWhenUsed/>
    <w:qFormat/>
    <w:rsid w:val="00B60EB5"/>
    <w:pPr>
      <w:keepNext/>
      <w:keepLines/>
      <w:spacing w:after="0" w:line="259" w:lineRule="auto"/>
      <w:outlineLvl w:val="7"/>
    </w:pPr>
    <w:rPr>
      <w:rFonts w:asciiTheme="minorHAnsi" w:eastAsiaTheme="majorEastAsia" w:hAnsiTheme="minorHAnsi" w:cstheme="majorBidi"/>
      <w:i/>
      <w:iCs/>
      <w:color w:val="272727" w:themeColor="text1" w:themeTint="D8"/>
      <w:sz w:val="22"/>
      <w:szCs w:val="22"/>
    </w:rPr>
  </w:style>
  <w:style w:type="paragraph" w:styleId="9">
    <w:name w:val="heading 9"/>
    <w:basedOn w:val="a"/>
    <w:next w:val="a"/>
    <w:link w:val="90"/>
    <w:uiPriority w:val="9"/>
    <w:semiHidden/>
    <w:unhideWhenUsed/>
    <w:qFormat/>
    <w:rsid w:val="00B60EB5"/>
    <w:pPr>
      <w:keepNext/>
      <w:keepLines/>
      <w:spacing w:after="0" w:line="259" w:lineRule="auto"/>
      <w:outlineLvl w:val="8"/>
    </w:pPr>
    <w:rPr>
      <w:rFonts w:asciiTheme="minorHAnsi" w:eastAsiaTheme="majorEastAsia" w:hAnsiTheme="minorHAnsi" w:cstheme="majorBidi"/>
      <w:color w:val="272727" w:themeColor="text1" w:themeTint="D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6B25A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unhideWhenUsed/>
    <w:rsid w:val="006B25AB"/>
    <w:pPr>
      <w:spacing w:after="120"/>
    </w:pPr>
  </w:style>
  <w:style w:type="character" w:customStyle="1" w:styleId="a4">
    <w:name w:val="Основной текст Знак"/>
    <w:basedOn w:val="a0"/>
    <w:link w:val="a3"/>
    <w:rsid w:val="006B25AB"/>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6B25AB"/>
    <w:pPr>
      <w:widowControl w:val="0"/>
      <w:autoSpaceDE w:val="0"/>
      <w:autoSpaceDN w:val="0"/>
      <w:spacing w:after="0" w:line="240" w:lineRule="auto"/>
    </w:pPr>
    <w:rPr>
      <w:rFonts w:eastAsia="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25AB"/>
    <w:pPr>
      <w:widowControl w:val="0"/>
      <w:autoSpaceDE w:val="0"/>
      <w:autoSpaceDN w:val="0"/>
      <w:spacing w:after="0" w:line="240" w:lineRule="auto"/>
      <w:ind w:left="107"/>
      <w:jc w:val="center"/>
    </w:pPr>
  </w:style>
  <w:style w:type="character" w:styleId="a5">
    <w:name w:val="Strong"/>
    <w:basedOn w:val="a0"/>
    <w:uiPriority w:val="22"/>
    <w:qFormat/>
    <w:rsid w:val="00810A97"/>
    <w:rPr>
      <w:b/>
      <w:bCs/>
    </w:rPr>
  </w:style>
  <w:style w:type="table" w:styleId="a6">
    <w:name w:val="Table Grid"/>
    <w:basedOn w:val="a1"/>
    <w:qFormat/>
    <w:rsid w:val="00810A97"/>
    <w:pPr>
      <w:spacing w:after="0" w:line="240" w:lineRule="auto"/>
    </w:pPr>
    <w:rPr>
      <w:rFonts w:cs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qFormat/>
    <w:rsid w:val="00810A97"/>
    <w:pPr>
      <w:tabs>
        <w:tab w:val="center" w:pos="4819"/>
        <w:tab w:val="right" w:pos="9639"/>
      </w:tabs>
      <w:spacing w:after="0" w:line="240" w:lineRule="auto"/>
      <w:ind w:firstLine="284"/>
      <w:jc w:val="both"/>
    </w:pPr>
    <w:rPr>
      <w:szCs w:val="24"/>
      <w:lang w:bidi="en-US"/>
    </w:rPr>
  </w:style>
  <w:style w:type="character" w:customStyle="1" w:styleId="a8">
    <w:name w:val="Верхний колонтитул Знак"/>
    <w:basedOn w:val="a0"/>
    <w:link w:val="a7"/>
    <w:uiPriority w:val="99"/>
    <w:rsid w:val="00810A97"/>
    <w:rPr>
      <w:rFonts w:ascii="Times New Roman" w:eastAsia="Times New Roman" w:hAnsi="Times New Roman" w:cs="Times New Roman"/>
      <w:sz w:val="28"/>
      <w:szCs w:val="24"/>
      <w:lang w:bidi="en-US"/>
    </w:rPr>
  </w:style>
  <w:style w:type="paragraph" w:styleId="a9">
    <w:name w:val="footer"/>
    <w:basedOn w:val="a"/>
    <w:link w:val="aa"/>
    <w:uiPriority w:val="99"/>
    <w:unhideWhenUsed/>
    <w:qFormat/>
    <w:rsid w:val="00810A97"/>
    <w:pPr>
      <w:tabs>
        <w:tab w:val="center" w:pos="4819"/>
        <w:tab w:val="right" w:pos="9639"/>
      </w:tabs>
      <w:spacing w:after="0" w:line="240" w:lineRule="auto"/>
      <w:ind w:firstLine="284"/>
      <w:jc w:val="both"/>
    </w:pPr>
    <w:rPr>
      <w:szCs w:val="24"/>
      <w:lang w:bidi="en-US"/>
    </w:rPr>
  </w:style>
  <w:style w:type="character" w:customStyle="1" w:styleId="aa">
    <w:name w:val="Нижний колонтитул Знак"/>
    <w:basedOn w:val="a0"/>
    <w:link w:val="a9"/>
    <w:uiPriority w:val="99"/>
    <w:rsid w:val="00810A97"/>
    <w:rPr>
      <w:rFonts w:ascii="Times New Roman" w:eastAsia="Times New Roman" w:hAnsi="Times New Roman" w:cs="Times New Roman"/>
      <w:sz w:val="28"/>
      <w:szCs w:val="24"/>
      <w:lang w:bidi="en-US"/>
    </w:rPr>
  </w:style>
  <w:style w:type="character" w:customStyle="1" w:styleId="11">
    <w:name w:val="Заголовок 1 Знак"/>
    <w:basedOn w:val="a0"/>
    <w:link w:val="10"/>
    <w:uiPriority w:val="9"/>
    <w:rsid w:val="00E32BE0"/>
    <w:rPr>
      <w:rFonts w:ascii="SimSun" w:eastAsia="SimSun" w:hAnsi="SimSun" w:cs="Times New Roman"/>
      <w:b/>
      <w:bCs/>
      <w:kern w:val="44"/>
      <w:sz w:val="48"/>
      <w:szCs w:val="48"/>
      <w:lang w:val="en-US" w:eastAsia="zh-CN"/>
    </w:rPr>
  </w:style>
  <w:style w:type="character" w:customStyle="1" w:styleId="20">
    <w:name w:val="Заголовок 2 Знак"/>
    <w:basedOn w:val="a0"/>
    <w:link w:val="2"/>
    <w:uiPriority w:val="9"/>
    <w:semiHidden/>
    <w:rsid w:val="00E32BE0"/>
    <w:rPr>
      <w:rFonts w:ascii="SimSun" w:eastAsia="SimSun" w:hAnsi="SimSun" w:cs="Times New Roman"/>
      <w:b/>
      <w:bCs/>
      <w:sz w:val="36"/>
      <w:szCs w:val="36"/>
      <w:lang w:val="en-US" w:eastAsia="zh-CN"/>
    </w:rPr>
  </w:style>
  <w:style w:type="numbering" w:customStyle="1" w:styleId="12">
    <w:name w:val="Нет списка1"/>
    <w:next w:val="a2"/>
    <w:uiPriority w:val="99"/>
    <w:semiHidden/>
    <w:unhideWhenUsed/>
    <w:rsid w:val="00E32BE0"/>
  </w:style>
  <w:style w:type="paragraph" w:styleId="ab">
    <w:name w:val="Balloon Text"/>
    <w:basedOn w:val="a"/>
    <w:link w:val="ac"/>
    <w:uiPriority w:val="99"/>
    <w:qFormat/>
    <w:rsid w:val="00E32BE0"/>
    <w:pPr>
      <w:spacing w:after="0" w:line="240" w:lineRule="auto"/>
    </w:pPr>
    <w:rPr>
      <w:rFonts w:ascii="Tahoma" w:hAnsi="Tahoma" w:cs="Tahoma"/>
      <w:sz w:val="16"/>
      <w:szCs w:val="16"/>
      <w:lang w:val="en-US"/>
    </w:rPr>
  </w:style>
  <w:style w:type="character" w:customStyle="1" w:styleId="ac">
    <w:name w:val="Текст выноски Знак"/>
    <w:basedOn w:val="a0"/>
    <w:link w:val="ab"/>
    <w:uiPriority w:val="99"/>
    <w:qFormat/>
    <w:rsid w:val="00E32BE0"/>
    <w:rPr>
      <w:rFonts w:ascii="Tahoma" w:eastAsia="Times New Roman" w:hAnsi="Tahoma" w:cs="Tahoma"/>
      <w:sz w:val="16"/>
      <w:szCs w:val="16"/>
      <w:lang w:val="en-US"/>
    </w:rPr>
  </w:style>
  <w:style w:type="character" w:styleId="ad">
    <w:name w:val="annotation reference"/>
    <w:basedOn w:val="a0"/>
    <w:qFormat/>
    <w:rsid w:val="00E32BE0"/>
    <w:rPr>
      <w:sz w:val="16"/>
      <w:szCs w:val="16"/>
    </w:rPr>
  </w:style>
  <w:style w:type="paragraph" w:styleId="ae">
    <w:name w:val="annotation text"/>
    <w:basedOn w:val="a"/>
    <w:link w:val="af"/>
    <w:rsid w:val="00E32BE0"/>
    <w:pPr>
      <w:spacing w:line="240" w:lineRule="auto"/>
    </w:pPr>
    <w:rPr>
      <w:rFonts w:ascii="Calibri" w:hAnsi="Calibri"/>
      <w:sz w:val="20"/>
      <w:szCs w:val="20"/>
      <w:lang w:val="en-US"/>
    </w:rPr>
  </w:style>
  <w:style w:type="character" w:customStyle="1" w:styleId="af">
    <w:name w:val="Текст примечания Знак"/>
    <w:basedOn w:val="a0"/>
    <w:link w:val="ae"/>
    <w:qFormat/>
    <w:rsid w:val="00E32BE0"/>
    <w:rPr>
      <w:rFonts w:ascii="Calibri" w:eastAsia="Times New Roman" w:hAnsi="Calibri" w:cs="Times New Roman"/>
      <w:sz w:val="20"/>
      <w:szCs w:val="20"/>
      <w:lang w:val="en-US"/>
    </w:rPr>
  </w:style>
  <w:style w:type="paragraph" w:styleId="af0">
    <w:name w:val="annotation subject"/>
    <w:basedOn w:val="ae"/>
    <w:next w:val="ae"/>
    <w:link w:val="af1"/>
    <w:qFormat/>
    <w:rsid w:val="00E32BE0"/>
    <w:rPr>
      <w:b/>
      <w:bCs/>
    </w:rPr>
  </w:style>
  <w:style w:type="character" w:customStyle="1" w:styleId="af1">
    <w:name w:val="Тема примечания Знак"/>
    <w:basedOn w:val="af"/>
    <w:link w:val="af0"/>
    <w:qFormat/>
    <w:rsid w:val="00E32BE0"/>
    <w:rPr>
      <w:rFonts w:ascii="Calibri" w:eastAsia="Times New Roman" w:hAnsi="Calibri" w:cs="Times New Roman"/>
      <w:b/>
      <w:bCs/>
      <w:sz w:val="20"/>
      <w:szCs w:val="20"/>
      <w:lang w:val="en-US"/>
    </w:rPr>
  </w:style>
  <w:style w:type="character" w:styleId="af2">
    <w:name w:val="Emphasis"/>
    <w:basedOn w:val="a0"/>
    <w:uiPriority w:val="20"/>
    <w:qFormat/>
    <w:rsid w:val="00E32BE0"/>
    <w:rPr>
      <w:i/>
      <w:iCs/>
    </w:rPr>
  </w:style>
  <w:style w:type="character" w:styleId="af3">
    <w:name w:val="Hyperlink"/>
    <w:basedOn w:val="a0"/>
    <w:uiPriority w:val="99"/>
    <w:qFormat/>
    <w:rsid w:val="00E32BE0"/>
    <w:rPr>
      <w:color w:val="0000FF"/>
      <w:u w:val="single"/>
    </w:rPr>
  </w:style>
  <w:style w:type="paragraph" w:styleId="af4">
    <w:name w:val="Normal (Web)"/>
    <w:basedOn w:val="a"/>
    <w:link w:val="af5"/>
    <w:uiPriority w:val="99"/>
    <w:qFormat/>
    <w:rsid w:val="00E32BE0"/>
    <w:pPr>
      <w:spacing w:beforeAutospacing="1" w:after="0" w:afterAutospacing="1"/>
    </w:pPr>
    <w:rPr>
      <w:rFonts w:eastAsia="SimSun"/>
      <w:sz w:val="24"/>
      <w:szCs w:val="24"/>
      <w:lang w:val="en-US" w:eastAsia="zh-CN"/>
    </w:rPr>
  </w:style>
  <w:style w:type="table" w:customStyle="1" w:styleId="13">
    <w:name w:val="Сетка таблицы1"/>
    <w:basedOn w:val="a1"/>
    <w:next w:val="a6"/>
    <w:qFormat/>
    <w:rsid w:val="00E32BE0"/>
    <w:pPr>
      <w:spacing w:after="0" w:line="240" w:lineRule="auto"/>
    </w:pPr>
    <w:rPr>
      <w:rFonts w:ascii="Times New Roman" w:eastAsia="SimSu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аголовок1"/>
    <w:basedOn w:val="a"/>
    <w:next w:val="a"/>
    <w:uiPriority w:val="10"/>
    <w:qFormat/>
    <w:rsid w:val="00E32BE0"/>
    <w:pPr>
      <w:pBdr>
        <w:bottom w:val="single" w:sz="8" w:space="4" w:color="5B9BD5"/>
      </w:pBdr>
      <w:spacing w:after="300" w:line="240" w:lineRule="auto"/>
      <w:contextualSpacing/>
    </w:pPr>
    <w:rPr>
      <w:rFonts w:ascii="Calibri Light" w:hAnsi="Calibri Light"/>
      <w:color w:val="323E4F"/>
      <w:spacing w:val="5"/>
      <w:kern w:val="28"/>
      <w:sz w:val="52"/>
      <w:szCs w:val="52"/>
      <w:lang w:val="en-US"/>
    </w:rPr>
  </w:style>
  <w:style w:type="paragraph" w:styleId="af6">
    <w:name w:val="List Paragraph"/>
    <w:basedOn w:val="a"/>
    <w:unhideWhenUsed/>
    <w:qFormat/>
    <w:rsid w:val="00E32BE0"/>
    <w:pPr>
      <w:ind w:left="720"/>
      <w:contextualSpacing/>
    </w:pPr>
    <w:rPr>
      <w:rFonts w:ascii="Calibri" w:hAnsi="Calibri"/>
      <w:sz w:val="22"/>
      <w:szCs w:val="22"/>
      <w:lang w:val="en-US"/>
    </w:rPr>
  </w:style>
  <w:style w:type="table" w:customStyle="1" w:styleId="110">
    <w:name w:val="Сетка таблицы11"/>
    <w:basedOn w:val="a1"/>
    <w:next w:val="a6"/>
    <w:qFormat/>
    <w:rsid w:val="00E32BE0"/>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qFormat/>
    <w:rsid w:val="00B26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qFormat/>
    <w:rsid w:val="00B26CEE"/>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6"/>
    <w:qFormat/>
    <w:rsid w:val="00FE760B"/>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qFormat/>
    <w:rsid w:val="00FE760B"/>
    <w:pPr>
      <w:spacing w:after="0" w:line="240" w:lineRule="auto"/>
    </w:pPr>
    <w:rPr>
      <w:rFonts w:ascii="Times New Roman" w:eastAsia="Times New Roman" w:hAnsi="Times New Roman" w:cs="Times New Roman"/>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2923D6"/>
    <w:rPr>
      <w:rFonts w:asciiTheme="majorHAnsi" w:eastAsiaTheme="majorEastAsia" w:hAnsiTheme="majorHAnsi" w:cstheme="majorBidi"/>
      <w:color w:val="1F4D78" w:themeColor="accent1" w:themeShade="7F"/>
      <w:sz w:val="24"/>
      <w:szCs w:val="24"/>
    </w:rPr>
  </w:style>
  <w:style w:type="table" w:customStyle="1" w:styleId="41">
    <w:name w:val="Сетка таблицы4"/>
    <w:basedOn w:val="a1"/>
    <w:next w:val="a6"/>
    <w:qFormat/>
    <w:rsid w:val="0029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qFormat/>
    <w:rsid w:val="002923D6"/>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qFormat/>
    <w:rsid w:val="0089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6"/>
    <w:qFormat/>
    <w:rsid w:val="00895032"/>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qFormat/>
    <w:rsid w:val="0089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6"/>
    <w:qFormat/>
    <w:rsid w:val="00CA2F0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6"/>
    <w:qFormat/>
    <w:rsid w:val="00CA2F07"/>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8D67ED"/>
  </w:style>
  <w:style w:type="character" w:customStyle="1" w:styleId="af5">
    <w:name w:val="Обычный (веб) Знак"/>
    <w:link w:val="af4"/>
    <w:uiPriority w:val="99"/>
    <w:locked/>
    <w:rsid w:val="008D67ED"/>
    <w:rPr>
      <w:rFonts w:ascii="Times New Roman" w:eastAsia="SimSun" w:hAnsi="Times New Roman" w:cs="Times New Roman"/>
      <w:sz w:val="24"/>
      <w:szCs w:val="24"/>
      <w:lang w:val="en-US" w:eastAsia="zh-CN"/>
    </w:rPr>
  </w:style>
  <w:style w:type="paragraph" w:styleId="HTML">
    <w:name w:val="HTML Preformatted"/>
    <w:basedOn w:val="a"/>
    <w:link w:val="HTML0"/>
    <w:uiPriority w:val="99"/>
    <w:unhideWhenUsed/>
    <w:rsid w:val="008D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8D67ED"/>
    <w:rPr>
      <w:rFonts w:ascii="Courier New" w:eastAsia="Times New Roman" w:hAnsi="Courier New" w:cs="Courier New"/>
      <w:sz w:val="20"/>
      <w:szCs w:val="20"/>
      <w:lang w:eastAsia="uk-UA"/>
    </w:rPr>
  </w:style>
  <w:style w:type="character" w:customStyle="1" w:styleId="y2iqfc">
    <w:name w:val="y2iqfc"/>
    <w:basedOn w:val="a0"/>
    <w:rsid w:val="008D67ED"/>
  </w:style>
  <w:style w:type="table" w:customStyle="1" w:styleId="17">
    <w:name w:val="Сетка таблицы17"/>
    <w:basedOn w:val="a1"/>
    <w:next w:val="a6"/>
    <w:qFormat/>
    <w:rsid w:val="008D67ED"/>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6"/>
    <w:qFormat/>
    <w:rsid w:val="008D6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B60EB5"/>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B60EB5"/>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B60E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0EB5"/>
    <w:rPr>
      <w:rFonts w:eastAsiaTheme="majorEastAsia" w:cstheme="majorBidi"/>
      <w:color w:val="595959" w:themeColor="text1" w:themeTint="A6"/>
    </w:rPr>
  </w:style>
  <w:style w:type="character" w:customStyle="1" w:styleId="80">
    <w:name w:val="Заголовок 8 Знак"/>
    <w:basedOn w:val="a0"/>
    <w:link w:val="8"/>
    <w:uiPriority w:val="9"/>
    <w:semiHidden/>
    <w:rsid w:val="00B60E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0EB5"/>
    <w:rPr>
      <w:rFonts w:eastAsiaTheme="majorEastAsia" w:cstheme="majorBidi"/>
      <w:color w:val="272727" w:themeColor="text1" w:themeTint="D8"/>
    </w:rPr>
  </w:style>
  <w:style w:type="paragraph" w:styleId="af7">
    <w:name w:val="Title"/>
    <w:basedOn w:val="a"/>
    <w:next w:val="a"/>
    <w:link w:val="af8"/>
    <w:uiPriority w:val="10"/>
    <w:qFormat/>
    <w:rsid w:val="00B60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7"/>
    <w:uiPriority w:val="10"/>
    <w:rsid w:val="00B60EB5"/>
    <w:rPr>
      <w:rFonts w:asciiTheme="majorHAnsi" w:eastAsiaTheme="majorEastAsia" w:hAnsiTheme="majorHAnsi" w:cstheme="majorBidi"/>
      <w:spacing w:val="-10"/>
      <w:kern w:val="28"/>
      <w:sz w:val="56"/>
      <w:szCs w:val="56"/>
    </w:rPr>
  </w:style>
  <w:style w:type="paragraph" w:styleId="af9">
    <w:name w:val="Subtitle"/>
    <w:basedOn w:val="a"/>
    <w:next w:val="a"/>
    <w:link w:val="afa"/>
    <w:uiPriority w:val="11"/>
    <w:qFormat/>
    <w:rsid w:val="00B60EB5"/>
    <w:pPr>
      <w:numPr>
        <w:ilvl w:val="1"/>
      </w:numPr>
      <w:spacing w:after="160" w:line="259" w:lineRule="auto"/>
    </w:pPr>
    <w:rPr>
      <w:rFonts w:asciiTheme="minorHAnsi" w:eastAsiaTheme="majorEastAsia" w:hAnsiTheme="minorHAnsi" w:cstheme="majorBidi"/>
      <w:color w:val="595959" w:themeColor="text1" w:themeTint="A6"/>
      <w:spacing w:val="15"/>
    </w:rPr>
  </w:style>
  <w:style w:type="character" w:customStyle="1" w:styleId="afa">
    <w:name w:val="Подзаголовок Знак"/>
    <w:basedOn w:val="a0"/>
    <w:link w:val="af9"/>
    <w:uiPriority w:val="11"/>
    <w:rsid w:val="00B60EB5"/>
    <w:rPr>
      <w:rFonts w:eastAsiaTheme="majorEastAsia" w:cstheme="majorBidi"/>
      <w:color w:val="595959" w:themeColor="text1" w:themeTint="A6"/>
      <w:spacing w:val="15"/>
      <w:sz w:val="28"/>
      <w:szCs w:val="28"/>
    </w:rPr>
  </w:style>
  <w:style w:type="paragraph" w:styleId="23">
    <w:name w:val="Quote"/>
    <w:basedOn w:val="a"/>
    <w:next w:val="a"/>
    <w:link w:val="24"/>
    <w:uiPriority w:val="29"/>
    <w:qFormat/>
    <w:rsid w:val="00B60EB5"/>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24">
    <w:name w:val="Цитата 2 Знак"/>
    <w:basedOn w:val="a0"/>
    <w:link w:val="23"/>
    <w:uiPriority w:val="29"/>
    <w:rsid w:val="00B60EB5"/>
    <w:rPr>
      <w:i/>
      <w:iCs/>
      <w:color w:val="404040" w:themeColor="text1" w:themeTint="BF"/>
    </w:rPr>
  </w:style>
  <w:style w:type="character" w:styleId="afb">
    <w:name w:val="Intense Emphasis"/>
    <w:basedOn w:val="a0"/>
    <w:uiPriority w:val="21"/>
    <w:qFormat/>
    <w:rsid w:val="00B60EB5"/>
    <w:rPr>
      <w:i/>
      <w:iCs/>
      <w:color w:val="2E74B5" w:themeColor="accent1" w:themeShade="BF"/>
    </w:rPr>
  </w:style>
  <w:style w:type="paragraph" w:styleId="afc">
    <w:name w:val="Intense Quote"/>
    <w:basedOn w:val="a"/>
    <w:next w:val="a"/>
    <w:link w:val="afd"/>
    <w:uiPriority w:val="30"/>
    <w:qFormat/>
    <w:rsid w:val="00B60EB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afd">
    <w:name w:val="Выделенная цитата Знак"/>
    <w:basedOn w:val="a0"/>
    <w:link w:val="afc"/>
    <w:uiPriority w:val="30"/>
    <w:rsid w:val="00B60EB5"/>
    <w:rPr>
      <w:i/>
      <w:iCs/>
      <w:color w:val="2E74B5" w:themeColor="accent1" w:themeShade="BF"/>
    </w:rPr>
  </w:style>
  <w:style w:type="character" w:styleId="afe">
    <w:name w:val="Intense Reference"/>
    <w:basedOn w:val="a0"/>
    <w:uiPriority w:val="32"/>
    <w:qFormat/>
    <w:rsid w:val="00B60EB5"/>
    <w:rPr>
      <w:b/>
      <w:bCs/>
      <w:smallCaps/>
      <w:color w:val="2E74B5" w:themeColor="accent1" w:themeShade="BF"/>
      <w:spacing w:val="5"/>
    </w:rPr>
  </w:style>
  <w:style w:type="character" w:customStyle="1" w:styleId="UnresolvedMention">
    <w:name w:val="Unresolved Mention"/>
    <w:basedOn w:val="a0"/>
    <w:uiPriority w:val="99"/>
    <w:semiHidden/>
    <w:unhideWhenUsed/>
    <w:rsid w:val="00B60EB5"/>
    <w:rPr>
      <w:color w:val="605E5C"/>
      <w:shd w:val="clear" w:color="auto" w:fill="E1DFDD"/>
    </w:rPr>
  </w:style>
  <w:style w:type="paragraph" w:styleId="aff">
    <w:name w:val="Revision"/>
    <w:hidden/>
    <w:uiPriority w:val="99"/>
    <w:semiHidden/>
    <w:rsid w:val="00B60EB5"/>
    <w:pPr>
      <w:spacing w:after="0" w:line="240" w:lineRule="auto"/>
    </w:pPr>
  </w:style>
  <w:style w:type="table" w:customStyle="1" w:styleId="18">
    <w:name w:val="Сетка таблицы18"/>
    <w:basedOn w:val="a1"/>
    <w:next w:val="a6"/>
    <w:qFormat/>
    <w:rsid w:val="00430A25"/>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6"/>
    <w:qFormat/>
    <w:rsid w:val="00430A25"/>
    <w:pPr>
      <w:spacing w:after="0" w:line="240" w:lineRule="auto"/>
    </w:pPr>
    <w:rPr>
      <w:rFonts w:ascii="Arial" w:hAnsi="Arial" w:cs="Arial"/>
      <w:sz w:val="28"/>
      <w:szCs w:val="28"/>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Імпортований стиль 1"/>
    <w:rsid w:val="001D20B2"/>
    <w:pPr>
      <w:numPr>
        <w:numId w:val="34"/>
      </w:numPr>
    </w:pPr>
  </w:style>
  <w:style w:type="table" w:customStyle="1" w:styleId="19">
    <w:name w:val="Сетка таблицы19"/>
    <w:basedOn w:val="a1"/>
    <w:next w:val="a6"/>
    <w:qFormat/>
    <w:rsid w:val="000E5F67"/>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qFormat/>
    <w:rsid w:val="000E5F6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759">
      <w:bodyDiv w:val="1"/>
      <w:marLeft w:val="0"/>
      <w:marRight w:val="0"/>
      <w:marTop w:val="0"/>
      <w:marBottom w:val="0"/>
      <w:divBdr>
        <w:top w:val="none" w:sz="0" w:space="0" w:color="auto"/>
        <w:left w:val="none" w:sz="0" w:space="0" w:color="auto"/>
        <w:bottom w:val="none" w:sz="0" w:space="0" w:color="auto"/>
        <w:right w:val="none" w:sz="0" w:space="0" w:color="auto"/>
      </w:divBdr>
      <w:divsChild>
        <w:div w:id="1745033491">
          <w:marLeft w:val="0"/>
          <w:marRight w:val="0"/>
          <w:marTop w:val="0"/>
          <w:marBottom w:val="0"/>
          <w:divBdr>
            <w:top w:val="none" w:sz="0" w:space="0" w:color="auto"/>
            <w:left w:val="none" w:sz="0" w:space="0" w:color="auto"/>
            <w:bottom w:val="none" w:sz="0" w:space="0" w:color="auto"/>
            <w:right w:val="none" w:sz="0" w:space="0" w:color="auto"/>
          </w:divBdr>
          <w:divsChild>
            <w:div w:id="148547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89/fspor.2023.1166139" TargetMode="External"/><Relationship Id="rId21" Type="http://schemas.openxmlformats.org/officeDocument/2006/relationships/hyperlink" Target="https://doi.org/10.31392/UDU-nc.series15.2023.11(171).30" TargetMode="External"/><Relationship Id="rId42" Type="http://schemas.openxmlformats.org/officeDocument/2006/relationships/hyperlink" Target="https://doi.org/10.1093/milmed/usaf307" TargetMode="External"/><Relationship Id="rId63" Type="http://schemas.openxmlformats.org/officeDocument/2006/relationships/hyperlink" Target="mailto:oloyko1964@ukr.net" TargetMode="External"/><Relationship Id="rId84" Type="http://schemas.openxmlformats.org/officeDocument/2006/relationships/hyperlink" Target="https://doi.org/10.1007/s00421-004-1251-4" TargetMode="External"/><Relationship Id="rId138" Type="http://schemas.openxmlformats.org/officeDocument/2006/relationships/hyperlink" Target="https://doi.org/10.63002/assm.32.912" TargetMode="External"/><Relationship Id="rId159" Type="http://schemas.openxmlformats.org/officeDocument/2006/relationships/hyperlink" Target="https://zakon.rada.gov.ua/laws/show/z0772-09" TargetMode="External"/><Relationship Id="rId170" Type="http://schemas.openxmlformats.org/officeDocument/2006/relationships/hyperlink" Target="https://zakon.rada.gov.ua/laws/show/898-2020-%D0%BF" TargetMode="External"/><Relationship Id="rId191" Type="http://schemas.openxmlformats.org/officeDocument/2006/relationships/hyperlink" Target="https://doi.org/10.3390/ijerph17144941" TargetMode="External"/><Relationship Id="rId205" Type="http://schemas.openxmlformats.org/officeDocument/2006/relationships/hyperlink" Target="https://doi.org/10.1093/oxfordhb/9780197600047.013.35" TargetMode="External"/><Relationship Id="rId226" Type="http://schemas.openxmlformats.org/officeDocument/2006/relationships/hyperlink" Target="mailto:gakanton@gmail.com" TargetMode="External"/><Relationship Id="rId247" Type="http://schemas.openxmlformats.org/officeDocument/2006/relationships/hyperlink" Target="https://reposit.nupp.edu.ua/handle/PoltNTU/1830" TargetMode="External"/><Relationship Id="rId107" Type="http://schemas.openxmlformats.org/officeDocument/2006/relationships/hyperlink" Target="https://www.wada-ama.org/en/resources/world-anti-doping-program/world-anti-doping-code" TargetMode="External"/><Relationship Id="rId268" Type="http://schemas.openxmlformats.org/officeDocument/2006/relationships/hyperlink" Target="https://nus.org.ua/wp-content/uploads/2017/11/NUSH-poradnyk-dlya-vchytelya.pdf" TargetMode="External"/><Relationship Id="rId11" Type="http://schemas.openxmlformats.org/officeDocument/2006/relationships/hyperlink" Target="https://doi.org/10.29038/2220-7481-2025-04-19-25" TargetMode="External"/><Relationship Id="rId32" Type="http://schemas.openxmlformats.org/officeDocument/2006/relationships/chart" Target="charts/chart1.xml"/><Relationship Id="rId53" Type="http://schemas.openxmlformats.org/officeDocument/2006/relationships/hyperlink" Target="https://doi.org/10.29038/2220-7481-2023-01-03-13" TargetMode="External"/><Relationship Id="rId74" Type="http://schemas.openxmlformats.org/officeDocument/2006/relationships/hyperlink" Target="https://doi.org/10.1016/j.humov.2006.09.003" TargetMode="External"/><Relationship Id="rId128" Type="http://schemas.openxmlformats.org/officeDocument/2006/relationships/hyperlink" Target="mailto:danikeiev@uni-sport.edu.ua" TargetMode="External"/><Relationship Id="rId149" Type="http://schemas.openxmlformats.org/officeDocument/2006/relationships/hyperlink" Target="http://infiz.dp.ua/misc-documents/repozit/ZO-A1/A1-0000-21-P1-10.pdf" TargetMode="External"/><Relationship Id="rId5" Type="http://schemas.openxmlformats.org/officeDocument/2006/relationships/footnotes" Target="footnotes.xml"/><Relationship Id="rId95" Type="http://schemas.openxmlformats.org/officeDocument/2006/relationships/hyperlink" Target="https://doi.org/10.1136/bmjsem-2025-002788" TargetMode="External"/><Relationship Id="rId160" Type="http://schemas.openxmlformats.org/officeDocument/2006/relationships/hyperlink" Target="https://zakon.rada.gov.ua/laws/show/z0651-10" TargetMode="External"/><Relationship Id="rId181" Type="http://schemas.openxmlformats.org/officeDocument/2006/relationships/hyperlink" Target="https://doi.org/10.31652/2071-5285-2025-19(38)-103-114" TargetMode="External"/><Relationship Id="rId216" Type="http://schemas.openxmlformats.org/officeDocument/2006/relationships/hyperlink" Target="https://doi.org/10.1016/j.lcsi.2018.11.007" TargetMode="External"/><Relationship Id="rId237" Type="http://schemas.openxmlformats.org/officeDocument/2006/relationships/hyperlink" Target="https://doi.org/10.1016/j.proeng.2010.04.152" TargetMode="External"/><Relationship Id="rId258" Type="http://schemas.openxmlformats.org/officeDocument/2006/relationships/hyperlink" Target="https://www.researchgate.net/publication/378926996_Enhancing_Badminton_Learning_for_Deaf_Children_Development_and_Evaluation_of_an_Interactive_Video_Teaching_Module" TargetMode="External"/><Relationship Id="rId279" Type="http://schemas.openxmlformats.org/officeDocument/2006/relationships/hyperlink" Target="https://journals.pnu.edu.ua/index.php/fcult/login" TargetMode="External"/><Relationship Id="rId22" Type="http://schemas.openxmlformats.org/officeDocument/2006/relationships/hyperlink" Target="https://doi.org/10.29038/2220-7481-2025-04-19-25" TargetMode="External"/><Relationship Id="rId43" Type="http://schemas.openxmlformats.org/officeDocument/2006/relationships/hyperlink" Target="https://doi.org/10.1093/milmed/usx221" TargetMode="External"/><Relationship Id="rId64" Type="http://schemas.openxmlformats.org/officeDocument/2006/relationships/hyperlink" Target="http://orcid.org/0000-0002-6928-7674" TargetMode="External"/><Relationship Id="rId118" Type="http://schemas.openxmlformats.org/officeDocument/2006/relationships/hyperlink" Target="https://doi.org/10.3389/fspor.2025.1512541" TargetMode="External"/><Relationship Id="rId139" Type="http://schemas.openxmlformats.org/officeDocument/2006/relationships/hyperlink" Target="https://doi.org/10.1080/09603123.2019.1612041" TargetMode="External"/><Relationship Id="rId85" Type="http://schemas.openxmlformats.org/officeDocument/2006/relationships/hyperlink" Target="https://doi.org/10.1249/MSS.0b013e3181a7d406" TargetMode="External"/><Relationship Id="rId150" Type="http://schemas.openxmlformats.org/officeDocument/2006/relationships/hyperlink" Target="https://doi.org/10.26689/erd.v7i5.10579" TargetMode="External"/><Relationship Id="rId171" Type="http://schemas.openxmlformats.org/officeDocument/2006/relationships/hyperlink" Target="https://zakon.rada.gov.ua/laws/show/1392-2011-%D0%BF" TargetMode="External"/><Relationship Id="rId192" Type="http://schemas.openxmlformats.org/officeDocument/2006/relationships/hyperlink" Target="https://doi.org/10.3389/fpsyg.2022.871936" TargetMode="External"/><Relationship Id="rId206" Type="http://schemas.openxmlformats.org/officeDocument/2006/relationships/hyperlink" Target="https://doi.org/10.1016/j.psychsport.2019.04.002" TargetMode="External"/><Relationship Id="rId227" Type="http://schemas.openxmlformats.org/officeDocument/2006/relationships/hyperlink" Target="https://orcid.org/0009-0009-5968-6557" TargetMode="External"/><Relationship Id="rId248" Type="http://schemas.openxmlformats.org/officeDocument/2006/relationships/hyperlink" Target="http://molodyvcheny.in.ua/files/journal/2017/3.1/34.pdf" TargetMode="External"/><Relationship Id="rId269" Type="http://schemas.openxmlformats.org/officeDocument/2006/relationships/hyperlink" Target="https://doi.org/10.31891/pcs.2024.4.27" TargetMode="External"/><Relationship Id="rId12" Type="http://schemas.openxmlformats.org/officeDocument/2006/relationships/hyperlink" Target="https://doi.org/10.31392/UDU-nc.series15.2026.03(202).22" TargetMode="External"/><Relationship Id="rId33" Type="http://schemas.openxmlformats.org/officeDocument/2006/relationships/chart" Target="charts/chart2.xml"/><Relationship Id="rId108" Type="http://schemas.openxmlformats.org/officeDocument/2006/relationships/hyperlink" Target="https://doi.org/10.1080/23750472.2022.2145345" TargetMode="External"/><Relationship Id="rId129" Type="http://schemas.openxmlformats.org/officeDocument/2006/relationships/hyperlink" Target="https://orcid.org/0000-0002-8657-5221" TargetMode="External"/><Relationship Id="rId280" Type="http://schemas.openxmlformats.org/officeDocument/2006/relationships/hyperlink" Target="mailto:phy-cult.newsletter@cnu.edu.ua" TargetMode="External"/><Relationship Id="rId54" Type="http://schemas.openxmlformats.org/officeDocument/2006/relationships/hyperlink" Target="https://doi.org/10.1093/milmed/usac040" TargetMode="External"/><Relationship Id="rId75" Type="http://schemas.openxmlformats.org/officeDocument/2006/relationships/hyperlink" Target="https://doi.org/10.5281/zenodo.16744099" TargetMode="External"/><Relationship Id="rId96" Type="http://schemas.openxmlformats.org/officeDocument/2006/relationships/hyperlink" Target="https://doi.org/10.1080/2159676x.2025.2509067" TargetMode="External"/><Relationship Id="rId140" Type="http://schemas.openxmlformats.org/officeDocument/2006/relationships/hyperlink" Target="https://doi.org/10.3389/fpsyt.2022.1051551" TargetMode="External"/><Relationship Id="rId161" Type="http://schemas.openxmlformats.org/officeDocument/2006/relationships/hyperlink" Target="https://mon.gov.ua/static-objects/mon/uploads/public/689/c85/%20369/689c85369d426859143135.pdf" TargetMode="External"/><Relationship Id="rId182" Type="http://schemas.openxmlformats.org/officeDocument/2006/relationships/hyperlink" Target="https://reposit.uni-sport.edu.ua/server/api/core/bitstreams/f188332f-a391-4ced-9d97-6f3c3eb7b0a8/" TargetMode="External"/><Relationship Id="rId217" Type="http://schemas.openxmlformats.org/officeDocument/2006/relationships/hyperlink" Target="https://doi.org/10.1007/s10648-019-09499-9" TargetMode="External"/><Relationship Id="rId6" Type="http://schemas.openxmlformats.org/officeDocument/2006/relationships/endnotes" Target="endnotes.xml"/><Relationship Id="rId238" Type="http://schemas.openxmlformats.org/officeDocument/2006/relationships/hyperlink" Target="https://doi.org/10.1007/s12283-013-0147-6" TargetMode="External"/><Relationship Id="rId259" Type="http://schemas.openxmlformats.org/officeDocument/2006/relationships/hyperlink" Target="https://doi.org/10.3390/ijerph21020210" TargetMode="External"/><Relationship Id="rId23" Type="http://schemas.openxmlformats.org/officeDocument/2006/relationships/hyperlink" Target="https://doi.org/10.31392/UDU-nc.series15.2026.03(202).22" TargetMode="External"/><Relationship Id="rId119" Type="http://schemas.openxmlformats.org/officeDocument/2006/relationships/hyperlink" Target="https://doi.org/10.1080/02640414.2024.2306056" TargetMode="External"/><Relationship Id="rId270" Type="http://schemas.openxmlformats.org/officeDocument/2006/relationships/hyperlink" Target="https://doi.org/10.1186/s12889-025-22146-z" TargetMode="External"/><Relationship Id="rId44" Type="http://schemas.openxmlformats.org/officeDocument/2006/relationships/hyperlink" Target="https://doi.org/10.1093/milmed/usaa496" TargetMode="External"/><Relationship Id="rId65" Type="http://schemas.openxmlformats.org/officeDocument/2006/relationships/hyperlink" Target="mailto:oksanaball35@gmail.com" TargetMode="External"/><Relationship Id="rId86" Type="http://schemas.openxmlformats.org/officeDocument/2006/relationships/hyperlink" Target="https://doi.org/10.1080/14763140208522784" TargetMode="External"/><Relationship Id="rId130" Type="http://schemas.openxmlformats.org/officeDocument/2006/relationships/hyperlink" Target="https://doi.org/10.63002/assm.32.912" TargetMode="External"/><Relationship Id="rId151" Type="http://schemas.openxmlformats.org/officeDocument/2006/relationships/hyperlink" Target="https://doi.org/10.32782/olimpspu/2025.1.4" TargetMode="External"/><Relationship Id="rId172" Type="http://schemas.openxmlformats.org/officeDocument/2006/relationships/hyperlink" Target="https://mon.gov.ua/static-objects/mon/uploads/public/66e/806/fcb/66e806fcb90e2017837434.pdf" TargetMode="External"/><Relationship Id="rId193" Type="http://schemas.openxmlformats.org/officeDocument/2006/relationships/hyperlink" Target="https://doi.org/10.1007/s11031-019-09818-1" TargetMode="External"/><Relationship Id="rId207" Type="http://schemas.openxmlformats.org/officeDocument/2006/relationships/hyperlink" Target="https://doi.org/10.1007/978-3-031-03921-8_8" TargetMode="External"/><Relationship Id="rId228" Type="http://schemas.openxmlformats.org/officeDocument/2006/relationships/hyperlink" Target="mailto:lclclicheng0426@gmail.com" TargetMode="External"/><Relationship Id="rId249" Type="http://schemas.openxmlformats.org/officeDocument/2006/relationships/hyperlink" Target="https://krs.chmnu.edu.ua/jspui/handle/123456789/1077" TargetMode="External"/><Relationship Id="rId13" Type="http://schemas.openxmlformats.org/officeDocument/2006/relationships/hyperlink" Target="https://doi.org/10.6000/2292-2598.2021.09.05.8" TargetMode="External"/><Relationship Id="rId18" Type="http://schemas.openxmlformats.org/officeDocument/2006/relationships/hyperlink" Target="https://doi.org/10.17265/2159-5542/2012.06.002" TargetMode="External"/><Relationship Id="rId39" Type="http://schemas.openxmlformats.org/officeDocument/2006/relationships/hyperlink" Target="https://doi.org/10.15330/fcult.30.80-87" TargetMode="External"/><Relationship Id="rId109" Type="http://schemas.openxmlformats.org/officeDocument/2006/relationships/hyperlink" Target="https://doi.org/10.1080/17430437.2022.2113061" TargetMode="External"/><Relationship Id="rId260" Type="http://schemas.openxmlformats.org/officeDocument/2006/relationships/hyperlink" Target="https://reposit.nupp.edu.ua/handle/PoltNTU/1830" TargetMode="External"/><Relationship Id="rId265" Type="http://schemas.openxmlformats.org/officeDocument/2006/relationships/hyperlink" Target="https://doi.org/10.32626/2309-8082.2025-30(4).270-277" TargetMode="External"/><Relationship Id="rId281" Type="http://schemas.openxmlformats.org/officeDocument/2006/relationships/hyperlink" Target="https://journals.pnu.edu.ua/index.php/fcult/" TargetMode="External"/><Relationship Id="rId34" Type="http://schemas.openxmlformats.org/officeDocument/2006/relationships/chart" Target="charts/chart3.xml"/><Relationship Id="rId50" Type="http://schemas.openxmlformats.org/officeDocument/2006/relationships/hyperlink" Target="https://doi.org/10.15330/fcult.44.42-50" TargetMode="External"/><Relationship Id="rId55" Type="http://schemas.openxmlformats.org/officeDocument/2006/relationships/hyperlink" Target="https://doi.org/10.1093/milmed/usaf307" TargetMode="External"/><Relationship Id="rId76" Type="http://schemas.openxmlformats.org/officeDocument/2006/relationships/hyperlink" Target="https://doi.org/10.1080/02640414.2010.507251" TargetMode="External"/><Relationship Id="rId97" Type="http://schemas.openxmlformats.org/officeDocument/2006/relationships/hyperlink" Target="https://doi.org/10.31891/pcs.2025.4.3" TargetMode="External"/><Relationship Id="rId104" Type="http://schemas.openxmlformats.org/officeDocument/2006/relationships/hyperlink" Target="https://doi.org/10.1016/j.psychsport.2022.102173" TargetMode="External"/><Relationship Id="rId120" Type="http://schemas.openxmlformats.org/officeDocument/2006/relationships/hyperlink" Target="https://doi.org/10.1016/j.psychsport.2022.102173" TargetMode="External"/><Relationship Id="rId125" Type="http://schemas.openxmlformats.org/officeDocument/2006/relationships/hyperlink" Target="https://doi.org/10.1080/17430437.2022.2113061" TargetMode="External"/><Relationship Id="rId141" Type="http://schemas.openxmlformats.org/officeDocument/2006/relationships/hyperlink" Target="https://doi.org/10.14814/phy2.14247" TargetMode="External"/><Relationship Id="rId146" Type="http://schemas.openxmlformats.org/officeDocument/2006/relationships/hyperlink" Target="https://orcid.org/0000-0002-8657-5221" TargetMode="External"/><Relationship Id="rId167" Type="http://schemas.openxmlformats.org/officeDocument/2006/relationships/hyperlink" Target="https://zakon.rada.gov.ua/laws/show/2145-19" TargetMode="External"/><Relationship Id="rId188" Type="http://schemas.openxmlformats.org/officeDocument/2006/relationships/hyperlink" Target="mailto:annaarabadzhy20@gmail.com" TargetMode="External"/><Relationship Id="rId7" Type="http://schemas.openxmlformats.org/officeDocument/2006/relationships/header" Target="header1.xml"/><Relationship Id="rId71" Type="http://schemas.openxmlformats.org/officeDocument/2006/relationships/hyperlink" Target="https://doi.org/10.1007/s00421-004-1251-4" TargetMode="External"/><Relationship Id="rId92" Type="http://schemas.openxmlformats.org/officeDocument/2006/relationships/hyperlink" Target="https://doi.org/10.1007/s00421-001-0582-8" TargetMode="External"/><Relationship Id="rId162" Type="http://schemas.openxmlformats.org/officeDocument/2006/relationships/hyperlink" Target="https://rada.info/upload/users_files/43981367/a33b978f5e5944268ce30f0fba1ecba7.pdf" TargetMode="External"/><Relationship Id="rId183" Type="http://schemas.openxmlformats.org/officeDocument/2006/relationships/hyperlink" Target="http://dspace.pnpu.edu.ua/bitstream/123456789/12845/1/PRYLUTSKYI.pdf" TargetMode="External"/><Relationship Id="rId213" Type="http://schemas.openxmlformats.org/officeDocument/2006/relationships/hyperlink" Target="https://doi.org/10.1177/17479541251378385" TargetMode="External"/><Relationship Id="rId218" Type="http://schemas.openxmlformats.org/officeDocument/2006/relationships/hyperlink" Target="https://doi.org/10.1037/11164-001" TargetMode="External"/><Relationship Id="rId234" Type="http://schemas.openxmlformats.org/officeDocument/2006/relationships/hyperlink" Target="https://www.mountain.net.ua/content/uploads/tehnichnij-reglament.-distanczi%D1%97-vvedeno-v-diyu-01.11.2021.pdf" TargetMode="External"/><Relationship Id="rId239" Type="http://schemas.openxmlformats.org/officeDocument/2006/relationships/hyperlink" Target="https://doi.org/10.24195/olympicus/2024-4.2" TargetMode="External"/><Relationship Id="rId2" Type="http://schemas.openxmlformats.org/officeDocument/2006/relationships/styles" Target="styles.xml"/><Relationship Id="rId29" Type="http://schemas.openxmlformats.org/officeDocument/2006/relationships/hyperlink" Target="https://doi.org/10.32652/tmfvs.2023.3.49-55" TargetMode="External"/><Relationship Id="rId250" Type="http://schemas.openxmlformats.org/officeDocument/2006/relationships/hyperlink" Target="https://doi.org/10.15391/snsv.2020-4.003" TargetMode="External"/><Relationship Id="rId255" Type="http://schemas.openxmlformats.org/officeDocument/2006/relationships/hyperlink" Target="https://nus.org.ua/wp-content/uploads/2017/11/NUSH-poradnyk-dlya-vchytelya.pdf" TargetMode="External"/><Relationship Id="rId271" Type="http://schemas.openxmlformats.org/officeDocument/2006/relationships/hyperlink" Target="https://www.researchgate.net/publication/378926996_Enhancing_Badminton_Learning_for_Deaf_Children_Development_and_Evaluation_of_an_Interactive_Video_Teaching_Module" TargetMode="External"/><Relationship Id="rId276" Type="http://schemas.openxmlformats.org/officeDocument/2006/relationships/hyperlink" Target="mailto:yuriyyurchyshyn@kpnu.edu.ua" TargetMode="External"/><Relationship Id="rId24" Type="http://schemas.openxmlformats.org/officeDocument/2006/relationships/hyperlink" Target="https://doi.org/10.6000/2292-2598.2021.09.05.8" TargetMode="External"/><Relationship Id="rId40" Type="http://schemas.openxmlformats.org/officeDocument/2006/relationships/hyperlink" Target="https://doi.org/10.29038/2220-7481-2023-01-03-13" TargetMode="External"/><Relationship Id="rId45" Type="http://schemas.openxmlformats.org/officeDocument/2006/relationships/hyperlink" Target="https://doi.org/10.1093/milmed/usz152" TargetMode="External"/><Relationship Id="rId66" Type="http://schemas.openxmlformats.org/officeDocument/2006/relationships/hyperlink" Target="mailto:VITAHA1958@gmail.com" TargetMode="External"/><Relationship Id="rId87" Type="http://schemas.openxmlformats.org/officeDocument/2006/relationships/hyperlink" Target="https://doi.org/10.1016/j.humov.2006.09.003" TargetMode="External"/><Relationship Id="rId110" Type="http://schemas.openxmlformats.org/officeDocument/2006/relationships/hyperlink" Target="https://doi.org/10.3389/fspor.2024.1375359" TargetMode="External"/><Relationship Id="rId115" Type="http://schemas.openxmlformats.org/officeDocument/2006/relationships/hyperlink" Target="https://doi.org/10.1016/j.psychsport.2022.102233" TargetMode="External"/><Relationship Id="rId131" Type="http://schemas.openxmlformats.org/officeDocument/2006/relationships/hyperlink" Target="https://doi.org/10.1080/09603123.2019.1612041" TargetMode="External"/><Relationship Id="rId136" Type="http://schemas.openxmlformats.org/officeDocument/2006/relationships/hyperlink" Target="https://doi.org/10.33296/2707-0255-20(39)-13" TargetMode="External"/><Relationship Id="rId157" Type="http://schemas.openxmlformats.org/officeDocument/2006/relationships/hyperlink" Target="https://zakon.rada.gov.ua/laws/show/1392-2011-%D0%BF" TargetMode="External"/><Relationship Id="rId178" Type="http://schemas.openxmlformats.org/officeDocument/2006/relationships/hyperlink" Target="https://reposit.uni-sport.edu.ua/server/api/core/bitstreams/f188332f-a391-4ced-9d97-6f3c3eb7b0a8/content" TargetMode="External"/><Relationship Id="rId61" Type="http://schemas.openxmlformats.org/officeDocument/2006/relationships/hyperlink" Target="https://doi.org/10.17770/etr2025vol5.8474" TargetMode="External"/><Relationship Id="rId82" Type="http://schemas.openxmlformats.org/officeDocument/2006/relationships/hyperlink" Target="https://doi.org/10.1016/j.jbiomech.2023.111792" TargetMode="External"/><Relationship Id="rId152" Type="http://schemas.openxmlformats.org/officeDocument/2006/relationships/hyperlink" Target="http://ven.ztu.edu.ua/index.php/wissn009/article/view/132643" TargetMode="External"/><Relationship Id="rId173" Type="http://schemas.openxmlformats.org/officeDocument/2006/relationships/hyperlink" Target="https://zakon.rada.gov.ua/laws/show/z0772-09" TargetMode="External"/><Relationship Id="rId194" Type="http://schemas.openxmlformats.org/officeDocument/2006/relationships/hyperlink" Target="https://doi.org/10.1016/j.cedpsych.2020.101860" TargetMode="External"/><Relationship Id="rId199" Type="http://schemas.openxmlformats.org/officeDocument/2006/relationships/hyperlink" Target="https://doi.org/10.33448/rsd-v14i12.50397" TargetMode="External"/><Relationship Id="rId203" Type="http://schemas.openxmlformats.org/officeDocument/2006/relationships/hyperlink" Target="https://doi.org/10.1080/1750984x.2022.2031252" TargetMode="External"/><Relationship Id="rId208" Type="http://schemas.openxmlformats.org/officeDocument/2006/relationships/hyperlink" Target="https://doi.org/10.1207/s15327965pli1104_01" TargetMode="External"/><Relationship Id="rId229" Type="http://schemas.openxmlformats.org/officeDocument/2006/relationships/hyperlink" Target="https://orcid.org/0009-0000-4440-1234" TargetMode="External"/><Relationship Id="rId19" Type="http://schemas.openxmlformats.org/officeDocument/2006/relationships/hyperlink" Target="https://doi.org/10.7752/jpes.2024.03085" TargetMode="External"/><Relationship Id="rId224" Type="http://schemas.openxmlformats.org/officeDocument/2006/relationships/hyperlink" Target="https://doi.org/10.1016/j.psychsport.2009.10.004" TargetMode="External"/><Relationship Id="rId240" Type="http://schemas.openxmlformats.org/officeDocument/2006/relationships/hyperlink" Target="https://doi.org/10.31652/2071-5285-2023-16(35)-99-106" TargetMode="External"/><Relationship Id="rId245" Type="http://schemas.openxmlformats.org/officeDocument/2006/relationships/image" Target="media/image3.png"/><Relationship Id="rId261" Type="http://schemas.openxmlformats.org/officeDocument/2006/relationships/hyperlink" Target="http://molodyvcheny.in.ua/files/journal/2017/3.1/34.pdf" TargetMode="External"/><Relationship Id="rId266" Type="http://schemas.openxmlformats.org/officeDocument/2006/relationships/hyperlink" Target="https://doi.org/10.32843/2663-6085/2022/43/2.8" TargetMode="External"/><Relationship Id="rId14" Type="http://schemas.openxmlformats.org/officeDocument/2006/relationships/hyperlink" Target="https://doi.org/10.7752/jpes.2025.03063" TargetMode="External"/><Relationship Id="rId30" Type="http://schemas.openxmlformats.org/officeDocument/2006/relationships/hyperlink" Target="mailto:apetrachkov77@ukr.net" TargetMode="External"/><Relationship Id="rId35" Type="http://schemas.openxmlformats.org/officeDocument/2006/relationships/chart" Target="charts/chart4.xml"/><Relationship Id="rId56" Type="http://schemas.openxmlformats.org/officeDocument/2006/relationships/hyperlink" Target="https://doi.org/10.1093/milmed/usx221" TargetMode="External"/><Relationship Id="rId77" Type="http://schemas.openxmlformats.org/officeDocument/2006/relationships/hyperlink" Target="https://doi.org/10.5628/rpcd.24.01.68" TargetMode="External"/><Relationship Id="rId100" Type="http://schemas.openxmlformats.org/officeDocument/2006/relationships/hyperlink" Target="https://doi.org/10.1016/j.psychsport.2021.102061" TargetMode="External"/><Relationship Id="rId105" Type="http://schemas.openxmlformats.org/officeDocument/2006/relationships/hyperlink" Target="https://doi.org/10.1080/17430437.2020.1807515" TargetMode="External"/><Relationship Id="rId126" Type="http://schemas.openxmlformats.org/officeDocument/2006/relationships/hyperlink" Target="https://orcid.org/0000-0002-7196-3061" TargetMode="External"/><Relationship Id="rId147" Type="http://schemas.openxmlformats.org/officeDocument/2006/relationships/hyperlink" Target="https://mon.gov.ua/static-objects/mon/uploads/public/689/c85/369/689c85369d426859143135.pdf" TargetMode="External"/><Relationship Id="rId168" Type="http://schemas.openxmlformats.org/officeDocument/2006/relationships/hyperlink" Target="https://zakon.rada.gov.ua/laws/show/463-20" TargetMode="External"/><Relationship Id="rId282" Type="http://schemas.openxmlformats.org/officeDocument/2006/relationships/hyperlink" Target="mailto:vdvcit@pnu.edu.ua" TargetMode="External"/><Relationship Id="rId8" Type="http://schemas.openxmlformats.org/officeDocument/2006/relationships/footer" Target="footer1.xml"/><Relationship Id="rId51" Type="http://schemas.openxmlformats.org/officeDocument/2006/relationships/hyperlink" Target="https://doi.org/10.32626/2309-8082.2020-19.43-48" TargetMode="External"/><Relationship Id="rId72" Type="http://schemas.openxmlformats.org/officeDocument/2006/relationships/hyperlink" Target="https://doi.org/10.1249/MSS.0b013e3181a7d406" TargetMode="External"/><Relationship Id="rId93" Type="http://schemas.openxmlformats.org/officeDocument/2006/relationships/hyperlink" Target="mailto:paulinakreft@onet.eu" TargetMode="External"/><Relationship Id="rId98" Type="http://schemas.openxmlformats.org/officeDocument/2006/relationships/hyperlink" Target="https://doi.org/10.32626/2309-8082.2025-30(4).232-239" TargetMode="External"/><Relationship Id="rId121" Type="http://schemas.openxmlformats.org/officeDocument/2006/relationships/hyperlink" Target="https://doi.org/10.1080/17430437.2020.1807515" TargetMode="External"/><Relationship Id="rId142" Type="http://schemas.openxmlformats.org/officeDocument/2006/relationships/hyperlink" Target="https://doi.org/10.21926/obm.icm.1901018?urlappend=%3Futm_source%3Dresearchgate.net%26utm_medium%3Darticle" TargetMode="External"/><Relationship Id="rId163" Type="http://schemas.openxmlformats.org/officeDocument/2006/relationships/hyperlink" Target="http://infiz.dp.ua/misc-documents/repozit/ZO-A1/A1-0000-21-P1-10.pdf" TargetMode="External"/><Relationship Id="rId184" Type="http://schemas.openxmlformats.org/officeDocument/2006/relationships/hyperlink" Target="https://ojs.tdmu.edu.ua/index.php/nursing/article/view/13882/12871" TargetMode="External"/><Relationship Id="rId189" Type="http://schemas.openxmlformats.org/officeDocument/2006/relationships/hyperlink" Target="mailto:tetiana.kapustina@khpi.edu.ua" TargetMode="External"/><Relationship Id="rId219" Type="http://schemas.openxmlformats.org/officeDocument/2006/relationships/hyperlink" Target="https://doi.org/10.3389/fpsyg.2020.00158" TargetMode="External"/><Relationship Id="rId3" Type="http://schemas.openxmlformats.org/officeDocument/2006/relationships/settings" Target="settings.xml"/><Relationship Id="rId214" Type="http://schemas.openxmlformats.org/officeDocument/2006/relationships/hyperlink" Target="https://doi.org/10.3389/fpsyg.2020.01535" TargetMode="External"/><Relationship Id="rId230" Type="http://schemas.openxmlformats.org/officeDocument/2006/relationships/hyperlink" Target="mailto:wuyunhui98@gmail.com" TargetMode="External"/><Relationship Id="rId235" Type="http://schemas.openxmlformats.org/officeDocument/2006/relationships/hyperlink" Target="https://www.scribd.com/document/964128099/Mountain-Rescue-Manual-1" TargetMode="External"/><Relationship Id="rId251" Type="http://schemas.openxmlformats.org/officeDocument/2006/relationships/hyperlink" Target="https://doi.org/10.31392/UDU-nc.series15.2025.05(192).34" TargetMode="External"/><Relationship Id="rId256" Type="http://schemas.openxmlformats.org/officeDocument/2006/relationships/hyperlink" Target="https://doi.org/10.31891/pcs.2024.4.27" TargetMode="External"/><Relationship Id="rId277" Type="http://schemas.openxmlformats.org/officeDocument/2006/relationships/hyperlink" Target="https://journals.pnu.edu.ua/index.php/pcss/about/submissions" TargetMode="External"/><Relationship Id="rId25" Type="http://schemas.openxmlformats.org/officeDocument/2006/relationships/hyperlink" Target="https://doi.org/10.7752/jpes.2025.03063" TargetMode="External"/><Relationship Id="rId46" Type="http://schemas.openxmlformats.org/officeDocument/2006/relationships/hyperlink" Target="https://doi.org/10.1249/FIT.0000000000001110" TargetMode="External"/><Relationship Id="rId67" Type="http://schemas.openxmlformats.org/officeDocument/2006/relationships/hyperlink" Target="https://doi.org/10.2165/00007256-199213010-00002" TargetMode="External"/><Relationship Id="rId116" Type="http://schemas.openxmlformats.org/officeDocument/2006/relationships/hyperlink" Target="https://doi.org/10.1016/j.psychsport.2021.102061" TargetMode="External"/><Relationship Id="rId137" Type="http://schemas.openxmlformats.org/officeDocument/2006/relationships/hyperlink" Target="https://doi.org/10.52256/2710-3986.1-102.2025.23" TargetMode="External"/><Relationship Id="rId158" Type="http://schemas.openxmlformats.org/officeDocument/2006/relationships/hyperlink" Target="https://mon.gov.ua/static-objects/mon/uploads/public/66e/806/fcb/66e806fcb90e2017837434.pdf" TargetMode="External"/><Relationship Id="rId272" Type="http://schemas.openxmlformats.org/officeDocument/2006/relationships/hyperlink" Target="https://doi.org/10.3390/ijerph21020210" TargetMode="External"/><Relationship Id="rId20" Type="http://schemas.openxmlformats.org/officeDocument/2006/relationships/hyperlink" Target="https://doi.org/10.32652/tmfvs.2023.3.49&#8211;55" TargetMode="External"/><Relationship Id="rId41" Type="http://schemas.openxmlformats.org/officeDocument/2006/relationships/hyperlink" Target="https://doi.org/10.1093/milmed/usac040" TargetMode="External"/><Relationship Id="rId62" Type="http://schemas.openxmlformats.org/officeDocument/2006/relationships/hyperlink" Target="https://orcid.org/0000-0001-7182-5104" TargetMode="External"/><Relationship Id="rId83" Type="http://schemas.openxmlformats.org/officeDocument/2006/relationships/hyperlink" Target="https://doi.org/10.1249/00005768-197923000-00007" TargetMode="External"/><Relationship Id="rId88" Type="http://schemas.openxmlformats.org/officeDocument/2006/relationships/hyperlink" Target="https://doi.org/10.5281/zenodo.16744099" TargetMode="External"/><Relationship Id="rId111" Type="http://schemas.openxmlformats.org/officeDocument/2006/relationships/hyperlink" Target="https://doi.org/10.1136/bmjsem-2025-002788" TargetMode="External"/><Relationship Id="rId132" Type="http://schemas.openxmlformats.org/officeDocument/2006/relationships/hyperlink" Target="https://doi.org/10.3389/fpsyt.2022.1051551" TargetMode="External"/><Relationship Id="rId153" Type="http://schemas.openxmlformats.org/officeDocument/2006/relationships/hyperlink" Target="https://zakon.rada.gov.ua/laws/show/2145-19" TargetMode="External"/><Relationship Id="rId174" Type="http://schemas.openxmlformats.org/officeDocument/2006/relationships/hyperlink" Target="https://zakon.rada.gov.ua/laws/show/z0651-10" TargetMode="External"/><Relationship Id="rId179" Type="http://schemas.openxmlformats.org/officeDocument/2006/relationships/hyperlink" Target="http://dspace.pnpu.edu.ua/bitstream/%20123456789/12845/1/PRYLUTSKYI.pdf" TargetMode="External"/><Relationship Id="rId195" Type="http://schemas.openxmlformats.org/officeDocument/2006/relationships/hyperlink" Target="https://doi.org/10.1093/oxfordhb/9780199396511.013.16" TargetMode="External"/><Relationship Id="rId209" Type="http://schemas.openxmlformats.org/officeDocument/2006/relationships/hyperlink" Target="https://doi.org/10.1037/mot0000194" TargetMode="External"/><Relationship Id="rId190" Type="http://schemas.openxmlformats.org/officeDocument/2006/relationships/hyperlink" Target="https://doi.org/10.24919/2308-4634.2024.300083" TargetMode="External"/><Relationship Id="rId204" Type="http://schemas.openxmlformats.org/officeDocument/2006/relationships/hyperlink" Target="https://doi.org/10.1037/h0040934" TargetMode="External"/><Relationship Id="rId220" Type="http://schemas.openxmlformats.org/officeDocument/2006/relationships/hyperlink" Target="https://doi.org/10.3389/fpsyg.2025.1574337" TargetMode="External"/><Relationship Id="rId225" Type="http://schemas.openxmlformats.org/officeDocument/2006/relationships/hyperlink" Target="https://doi.org/10.1016/j.psicoe.2017.07.003" TargetMode="External"/><Relationship Id="rId241" Type="http://schemas.openxmlformats.org/officeDocument/2006/relationships/hyperlink" Target="https://www.scribd.com/document/964128099/Mountain-Rescue-Manual-1" TargetMode="External"/><Relationship Id="rId246" Type="http://schemas.microsoft.com/office/2007/relationships/hdphoto" Target="media/hdphoto1.wdp"/><Relationship Id="rId267" Type="http://schemas.openxmlformats.org/officeDocument/2006/relationships/hyperlink" Target="https://doi.org/10.32782/ip/95.2.11" TargetMode="External"/><Relationship Id="rId15" Type="http://schemas.openxmlformats.org/officeDocument/2006/relationships/hyperlink" Target="https://doi.org/10.7752/jpes.2024.06165" TargetMode="External"/><Relationship Id="rId36" Type="http://schemas.openxmlformats.org/officeDocument/2006/relationships/hyperlink" Target="https://doi.org/10.15561/health.2025.0203" TargetMode="External"/><Relationship Id="rId57" Type="http://schemas.openxmlformats.org/officeDocument/2006/relationships/hyperlink" Target="https://doi.org/10.1093/milmed/usaa496" TargetMode="External"/><Relationship Id="rId106" Type="http://schemas.openxmlformats.org/officeDocument/2006/relationships/hyperlink" Target="https://doi.org/10.1080/17430437.2022.2037565" TargetMode="External"/><Relationship Id="rId127" Type="http://schemas.openxmlformats.org/officeDocument/2006/relationships/hyperlink" Target="mailto:yehoncharenko@uni-sport.edu.ua" TargetMode="External"/><Relationship Id="rId262" Type="http://schemas.openxmlformats.org/officeDocument/2006/relationships/hyperlink" Target="https://krs.chmnu.edu.ua/jspui/handle/123456789/1077" TargetMode="External"/><Relationship Id="rId283" Type="http://schemas.openxmlformats.org/officeDocument/2006/relationships/hyperlink" Target="mailto:oblasna-prosvita@ukr.net" TargetMode="External"/><Relationship Id="rId10" Type="http://schemas.openxmlformats.org/officeDocument/2006/relationships/hyperlink" Target="https://doi.org/10.31392/UDU-nc.series15.2023.11(171).30" TargetMode="External"/><Relationship Id="rId31" Type="http://schemas.openxmlformats.org/officeDocument/2006/relationships/hyperlink" Target="https://orcid.org/0000-0002-2510-1209" TargetMode="External"/><Relationship Id="rId52" Type="http://schemas.openxmlformats.org/officeDocument/2006/relationships/hyperlink" Target="https://doi.org/10.15330/fcult.30.80-87" TargetMode="External"/><Relationship Id="rId73" Type="http://schemas.openxmlformats.org/officeDocument/2006/relationships/hyperlink" Target="https://doi.org/10.1080/14763140208522784" TargetMode="External"/><Relationship Id="rId78" Type="http://schemas.openxmlformats.org/officeDocument/2006/relationships/hyperlink" Target="https://doi.org/10.3389/fspor.2025.1656633" TargetMode="External"/><Relationship Id="rId94" Type="http://schemas.openxmlformats.org/officeDocument/2006/relationships/hyperlink" Target="https://doi.org/10.3389/fspor.2024.1375359" TargetMode="External"/><Relationship Id="rId99" Type="http://schemas.openxmlformats.org/officeDocument/2006/relationships/hyperlink" Target="https://doi.org/10.1016/j.psychsport.2022.102233" TargetMode="External"/><Relationship Id="rId101" Type="http://schemas.openxmlformats.org/officeDocument/2006/relationships/hyperlink" Target="https://doi.org/10.3389/fspor.2023.1166139" TargetMode="External"/><Relationship Id="rId122" Type="http://schemas.openxmlformats.org/officeDocument/2006/relationships/hyperlink" Target="https://doi.org/10.1080/17430437.2022.2037565" TargetMode="External"/><Relationship Id="rId143" Type="http://schemas.openxmlformats.org/officeDocument/2006/relationships/hyperlink" Target="https://doi.org/10.52726/as.pedagogy/2024.4.6" TargetMode="External"/><Relationship Id="rId148" Type="http://schemas.openxmlformats.org/officeDocument/2006/relationships/hyperlink" Target="https://rada.info/upload/users_files/43981367/a33b978f5e5944268ce30f0fba1ecba7.pdf" TargetMode="External"/><Relationship Id="rId164" Type="http://schemas.openxmlformats.org/officeDocument/2006/relationships/hyperlink" Target="https://doi.org/10.26689/erd.v7i5.10579" TargetMode="External"/><Relationship Id="rId169" Type="http://schemas.openxmlformats.org/officeDocument/2006/relationships/hyperlink" Target="https://roippo.org.ua/images/downloads/nush/kontsepts_ya_novo_ukra%20_nsko_shkoli_.pdf" TargetMode="External"/><Relationship Id="rId185" Type="http://schemas.openxmlformats.org/officeDocument/2006/relationships/hyperlink" Target="https://doi.org/10.32782/olimpspu/2025.3.2" TargetMode="External"/><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hyperlink" Target="https://ojs.tdmu.edu.ua/index.php/nursing/article/view/%2013882/12871" TargetMode="External"/><Relationship Id="rId210" Type="http://schemas.openxmlformats.org/officeDocument/2006/relationships/hyperlink" Target="https://doi.org/10.1080/17437199.2020.1718529" TargetMode="External"/><Relationship Id="rId215" Type="http://schemas.openxmlformats.org/officeDocument/2006/relationships/hyperlink" Target="https://doi.org/10.1007/s10648-019-09491-3" TargetMode="External"/><Relationship Id="rId236" Type="http://schemas.openxmlformats.org/officeDocument/2006/relationships/hyperlink" Target="https://doi.org/10.1080/19346182.2010.538401" TargetMode="External"/><Relationship Id="rId257" Type="http://schemas.openxmlformats.org/officeDocument/2006/relationships/hyperlink" Target="https://doi.org/10.1186/s12889-025-22146-z" TargetMode="External"/><Relationship Id="rId278" Type="http://schemas.openxmlformats.org/officeDocument/2006/relationships/hyperlink" Target="https://journals.pnu.edu.ua/index.php/fcult/user/register" TargetMode="External"/><Relationship Id="rId26" Type="http://schemas.openxmlformats.org/officeDocument/2006/relationships/hyperlink" Target="https://doi.org/10.7752/jpes.2024.06165" TargetMode="External"/><Relationship Id="rId231" Type="http://schemas.openxmlformats.org/officeDocument/2006/relationships/hyperlink" Target="https://orcid.org/0009-0005-1519-827X" TargetMode="External"/><Relationship Id="rId252" Type="http://schemas.openxmlformats.org/officeDocument/2006/relationships/hyperlink" Target="https://doi.org/10.32626/2309-8082.2025-30(4).270-277" TargetMode="External"/><Relationship Id="rId273" Type="http://schemas.openxmlformats.org/officeDocument/2006/relationships/hyperlink" Target="https://orcid.org/0009-0006-1122-2778" TargetMode="External"/><Relationship Id="rId47" Type="http://schemas.openxmlformats.org/officeDocument/2006/relationships/hyperlink" Target="https://doi.org/10.1093/milmed/163.6.398" TargetMode="External"/><Relationship Id="rId68" Type="http://schemas.openxmlformats.org/officeDocument/2006/relationships/hyperlink" Target="https://doi.org/10.1080/14763141.2021.1959946" TargetMode="External"/><Relationship Id="rId89" Type="http://schemas.openxmlformats.org/officeDocument/2006/relationships/hyperlink" Target="https://doi.org/10.1080/02640414.2010.507251" TargetMode="External"/><Relationship Id="rId112" Type="http://schemas.openxmlformats.org/officeDocument/2006/relationships/hyperlink" Target="https://doi.org/10.1080/2159676x.2025.2509067" TargetMode="External"/><Relationship Id="rId133" Type="http://schemas.openxmlformats.org/officeDocument/2006/relationships/hyperlink" Target="https://doi.org/10.14814/phy2.14247" TargetMode="External"/><Relationship Id="rId154" Type="http://schemas.openxmlformats.org/officeDocument/2006/relationships/hyperlink" Target="https://zakon.rada.gov.ua/laws/show/463-20" TargetMode="External"/><Relationship Id="rId175" Type="http://schemas.openxmlformats.org/officeDocument/2006/relationships/hyperlink" Target="mailto:52omelt@gmail.com" TargetMode="External"/><Relationship Id="rId196" Type="http://schemas.openxmlformats.org/officeDocument/2006/relationships/hyperlink" Target="https://doi.org/10.1080/1750984x.2021.1923055" TargetMode="External"/><Relationship Id="rId200" Type="http://schemas.openxmlformats.org/officeDocument/2006/relationships/hyperlink" Target="https://doi.org/10.31392/udu-nc.series15.2025.10(197).43" TargetMode="External"/><Relationship Id="rId16" Type="http://schemas.openxmlformats.org/officeDocument/2006/relationships/hyperlink" Target="https://doi.org/10.7752/jpes.2022.09278" TargetMode="External"/><Relationship Id="rId221" Type="http://schemas.openxmlformats.org/officeDocument/2006/relationships/hyperlink" Target="https://doi.org/10.1080/1750984x.2021.1929402" TargetMode="External"/><Relationship Id="rId242" Type="http://schemas.openxmlformats.org/officeDocument/2006/relationships/hyperlink" Target="https://doi.org/10.1080/19346182.2010.538401" TargetMode="External"/><Relationship Id="rId263" Type="http://schemas.openxmlformats.org/officeDocument/2006/relationships/hyperlink" Target="https://doi.org/10.15391/snsv.2020-4.003" TargetMode="External"/><Relationship Id="rId284" Type="http://schemas.openxmlformats.org/officeDocument/2006/relationships/fontTable" Target="fontTable.xml"/><Relationship Id="rId37" Type="http://schemas.openxmlformats.org/officeDocument/2006/relationships/hyperlink" Target="https://doi.org/10.15330/fcult.44.42-50" TargetMode="External"/><Relationship Id="rId58" Type="http://schemas.openxmlformats.org/officeDocument/2006/relationships/hyperlink" Target="https://doi.org/10.1093/milmed/usz152" TargetMode="External"/><Relationship Id="rId79" Type="http://schemas.openxmlformats.org/officeDocument/2006/relationships/hyperlink" Target="https://doi.org/10.1007/s00421-001-0582-8" TargetMode="External"/><Relationship Id="rId102" Type="http://schemas.openxmlformats.org/officeDocument/2006/relationships/hyperlink" Target="https://doi.org/10.3389/fspor.2025.1512541" TargetMode="External"/><Relationship Id="rId123" Type="http://schemas.openxmlformats.org/officeDocument/2006/relationships/hyperlink" Target="https://www.wada-ama.org/en/resources/world-anti-doping-program/world-anti-doping-code" TargetMode="External"/><Relationship Id="rId144" Type="http://schemas.openxmlformats.org/officeDocument/2006/relationships/hyperlink" Target="https://doi.org/10.52256/2710-3986.1-102.2025.23" TargetMode="External"/><Relationship Id="rId90" Type="http://schemas.openxmlformats.org/officeDocument/2006/relationships/hyperlink" Target="https://doi.org/10.5628/rpcd.24.01.68" TargetMode="External"/><Relationship Id="rId165" Type="http://schemas.openxmlformats.org/officeDocument/2006/relationships/hyperlink" Target="https://doi.org/10.32782/olimpspu/2025.1.4" TargetMode="External"/><Relationship Id="rId186" Type="http://schemas.openxmlformats.org/officeDocument/2006/relationships/hyperlink" Target="https://doi.org/10.31652/2071-5285-2025-19(38)-103-114" TargetMode="External"/><Relationship Id="rId211" Type="http://schemas.openxmlformats.org/officeDocument/2006/relationships/hyperlink" Target="https://doi.org/10.3389/fpsyg.2022.958444" TargetMode="External"/><Relationship Id="rId232" Type="http://schemas.openxmlformats.org/officeDocument/2006/relationships/hyperlink" Target="https://doi.org/10.24195/olympicus/2024-4.2" TargetMode="External"/><Relationship Id="rId253" Type="http://schemas.openxmlformats.org/officeDocument/2006/relationships/hyperlink" Target="https://doi.org/10.32843/2663-6085/2022/43/2.8" TargetMode="External"/><Relationship Id="rId274" Type="http://schemas.openxmlformats.org/officeDocument/2006/relationships/hyperlink" Target="mailto:sofkdf23.pochtarov@kpnu.edu.ua" TargetMode="External"/><Relationship Id="rId27" Type="http://schemas.openxmlformats.org/officeDocument/2006/relationships/hyperlink" Target="https://doi.org/10.7752/jpes.2022.09278" TargetMode="External"/><Relationship Id="rId48" Type="http://schemas.openxmlformats.org/officeDocument/2006/relationships/hyperlink" Target="https://doi.org/10.17770/etr2025vol5.8474" TargetMode="External"/><Relationship Id="rId69" Type="http://schemas.openxmlformats.org/officeDocument/2006/relationships/hyperlink" Target="https://doi.org/10.1016/j.jbiomech.2023.111792" TargetMode="External"/><Relationship Id="rId113" Type="http://schemas.openxmlformats.org/officeDocument/2006/relationships/hyperlink" Target="https://doi.org/10.31891/pcs.2025.4.3" TargetMode="External"/><Relationship Id="rId134" Type="http://schemas.openxmlformats.org/officeDocument/2006/relationships/hyperlink" Target="https://doi.org/10.21926/obm.icm.1901018?urlappend=%3Futm_source%3Dresearchgate.net%26utm_medium%3Darticle" TargetMode="External"/><Relationship Id="rId80" Type="http://schemas.openxmlformats.org/officeDocument/2006/relationships/hyperlink" Target="https://doi.org/10.2165/00007256-199213010-00002" TargetMode="External"/><Relationship Id="rId155" Type="http://schemas.openxmlformats.org/officeDocument/2006/relationships/hyperlink" Target="https://roippo.org.ua/images/downloads/nush/kontsepts_ya_novo_ukra_nsko_shkoli_.pdf" TargetMode="External"/><Relationship Id="rId176" Type="http://schemas.openxmlformats.org/officeDocument/2006/relationships/hyperlink" Target="https://orcid.org/0000-0002-1107-7244" TargetMode="External"/><Relationship Id="rId197" Type="http://schemas.openxmlformats.org/officeDocument/2006/relationships/hyperlink" Target="https://doi.org/10.1002/9781118270011.ch3" TargetMode="External"/><Relationship Id="rId201" Type="http://schemas.openxmlformats.org/officeDocument/2006/relationships/hyperlink" Target="https://doi.org/10.3389/fpsyg.2025.1645274" TargetMode="External"/><Relationship Id="rId222" Type="http://schemas.openxmlformats.org/officeDocument/2006/relationships/hyperlink" Target="https://doi.org/10.32782/sports-education/2025-1-5" TargetMode="External"/><Relationship Id="rId243" Type="http://schemas.openxmlformats.org/officeDocument/2006/relationships/hyperlink" Target="https://doi.org/10.1016/j.proeng.2010.04.152" TargetMode="External"/><Relationship Id="rId264" Type="http://schemas.openxmlformats.org/officeDocument/2006/relationships/hyperlink" Target="https://doi.org/10.31392/UDU-nc.series15.2025.05(192).34" TargetMode="External"/><Relationship Id="rId285" Type="http://schemas.openxmlformats.org/officeDocument/2006/relationships/theme" Target="theme/theme1.xml"/><Relationship Id="rId17" Type="http://schemas.openxmlformats.org/officeDocument/2006/relationships/hyperlink" Target="https://scholar.google.com.ua/citations?view_op=view_citation&amp;hl=uk&amp;user=ufr8YSYAAAAJ&amp;cstart=100&amp;pagesize=100&amp;citation_for_view=ufr8YSYAAAAJ:KbBQZpvPDL4C" TargetMode="External"/><Relationship Id="rId38" Type="http://schemas.openxmlformats.org/officeDocument/2006/relationships/hyperlink" Target="https://doi.org/10.32626/2309-8082.2020-19.43-48" TargetMode="External"/><Relationship Id="rId59" Type="http://schemas.openxmlformats.org/officeDocument/2006/relationships/hyperlink" Target="https://doi.org/10.1249/FIT.0000000000001110" TargetMode="External"/><Relationship Id="rId103" Type="http://schemas.openxmlformats.org/officeDocument/2006/relationships/hyperlink" Target="https://doi.org/10.1080/02640414.2024.2306056" TargetMode="External"/><Relationship Id="rId124" Type="http://schemas.openxmlformats.org/officeDocument/2006/relationships/hyperlink" Target="https://doi.org/10.1080/23750472.2022.2145345" TargetMode="External"/><Relationship Id="rId70" Type="http://schemas.openxmlformats.org/officeDocument/2006/relationships/hyperlink" Target="https://doi.org/10.1249/00005768-197923000-00007" TargetMode="External"/><Relationship Id="rId91" Type="http://schemas.openxmlformats.org/officeDocument/2006/relationships/hyperlink" Target="https://doi.org/10.3389/fspor.2025.1656633" TargetMode="External"/><Relationship Id="rId145" Type="http://schemas.openxmlformats.org/officeDocument/2006/relationships/hyperlink" Target="https://orcid.org/0000-0002-7196-3061" TargetMode="External"/><Relationship Id="rId166" Type="http://schemas.openxmlformats.org/officeDocument/2006/relationships/hyperlink" Target="http://ven.ztu.edu.ua/index.php/wissn009/article/view/132643" TargetMode="External"/><Relationship Id="rId187" Type="http://schemas.openxmlformats.org/officeDocument/2006/relationships/hyperlink" Target="mailto:timur.arabadzhy@khpi.edu.ua" TargetMode="External"/><Relationship Id="rId1" Type="http://schemas.openxmlformats.org/officeDocument/2006/relationships/numbering" Target="numbering.xml"/><Relationship Id="rId212" Type="http://schemas.openxmlformats.org/officeDocument/2006/relationships/hyperlink" Target="https://doi.org/10.1177/17479541251400621" TargetMode="External"/><Relationship Id="rId233" Type="http://schemas.openxmlformats.org/officeDocument/2006/relationships/hyperlink" Target="https://doi.org/10.31652/2071-5285-2023-16(35)-99-106" TargetMode="External"/><Relationship Id="rId254" Type="http://schemas.openxmlformats.org/officeDocument/2006/relationships/hyperlink" Target="https://doi.org/10.32782/ip/95.2.11" TargetMode="External"/><Relationship Id="rId28" Type="http://schemas.openxmlformats.org/officeDocument/2006/relationships/hyperlink" Target="https://doi.org/10.17265/2159-5542/2012.06.002" TargetMode="External"/><Relationship Id="rId49" Type="http://schemas.openxmlformats.org/officeDocument/2006/relationships/hyperlink" Target="https://doi.org/10.15561/health.2025.0203" TargetMode="External"/><Relationship Id="rId114" Type="http://schemas.openxmlformats.org/officeDocument/2006/relationships/hyperlink" Target="https://doi.org/10.32626/2309-8082.2025-30(4).232-239" TargetMode="External"/><Relationship Id="rId275" Type="http://schemas.openxmlformats.org/officeDocument/2006/relationships/hyperlink" Target="https://orcid.org/0000-0002-0404-9384" TargetMode="External"/><Relationship Id="rId60" Type="http://schemas.openxmlformats.org/officeDocument/2006/relationships/hyperlink" Target="https://doi.org/10.1093/milmed/163.6.398" TargetMode="External"/><Relationship Id="rId81" Type="http://schemas.openxmlformats.org/officeDocument/2006/relationships/hyperlink" Target="https://doi.org/10.1080/14763141.2021.1959946" TargetMode="External"/><Relationship Id="rId135" Type="http://schemas.openxmlformats.org/officeDocument/2006/relationships/hyperlink" Target="https://doi.org/10.52726/as.pedagogy/2024.4.6" TargetMode="External"/><Relationship Id="rId156" Type="http://schemas.openxmlformats.org/officeDocument/2006/relationships/hyperlink" Target="https://zakon.rada.gov.ua/laws/show/898-2020-%D0%BF" TargetMode="External"/><Relationship Id="rId177" Type="http://schemas.openxmlformats.org/officeDocument/2006/relationships/image" Target="media/image2.png"/><Relationship Id="rId198" Type="http://schemas.openxmlformats.org/officeDocument/2006/relationships/hyperlink" Target="https://doi.org/10.1007/978-3-031-17299-1_2630" TargetMode="External"/><Relationship Id="rId202" Type="http://schemas.openxmlformats.org/officeDocument/2006/relationships/hyperlink" Target="https://doi.org/10.1037/edu0000420" TargetMode="External"/><Relationship Id="rId223" Type="http://schemas.openxmlformats.org/officeDocument/2006/relationships/hyperlink" Target="https://doi.org/10.1016/s0065-2601(08)60019-2" TargetMode="External"/><Relationship Id="rId244" Type="http://schemas.openxmlformats.org/officeDocument/2006/relationships/hyperlink" Target="https://doi.org/10.1007/s12283-013-0147-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bukreeva_la\Desktop\c&#1090;&#1072;&#1090;&#1090;&#1103;\&#1076;&#1110;&#1072;&#1075;&#1088;&#1072;&#1084;&#1072;.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bukreeva_la\Desktop\c&#1090;&#1072;&#1090;&#1090;&#1103;\&#1076;&#1110;&#1072;&#1075;&#1088;&#1072;&#1084;&#1072;.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bukreeva_la\Desktop\c&#1090;&#1072;&#1090;&#1090;&#1103;\&#1076;&#1110;&#1072;&#1075;&#1088;&#1072;&#1084;&#1072;.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bukreeva_la\Desktop\c&#1090;&#1072;&#1090;&#1090;&#1103;\&#1076;&#1110;&#1072;&#1075;&#1088;&#1072;&#1084;&#1072;.xls"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Аркуш1!$A$65:$A$69</c:f>
              <c:strCache>
                <c:ptCount val="5"/>
                <c:pt idx="0">
                  <c:v>50/50</c:v>
                </c:pt>
                <c:pt idx="1">
                  <c:v>мотивує</c:v>
                </c:pt>
                <c:pt idx="2">
                  <c:v>не мотивує</c:v>
                </c:pt>
                <c:pt idx="3">
                  <c:v>дуже мотивує</c:v>
                </c:pt>
                <c:pt idx="4">
                  <c:v>недостатньо мотивує</c:v>
                </c:pt>
              </c:strCache>
            </c:strRef>
          </c:cat>
          <c:val>
            <c:numRef>
              <c:f>Аркуш1!$B$65:$B$69</c:f>
              <c:numCache>
                <c:formatCode>General</c:formatCode>
                <c:ptCount val="5"/>
              </c:numCache>
            </c:numRef>
          </c:val>
          <c:extLst>
            <c:ext xmlns:c16="http://schemas.microsoft.com/office/drawing/2014/chart" uri="{C3380CC4-5D6E-409C-BE32-E72D297353CC}">
              <c16:uniqueId val="{00000000-30A3-41F6-96FC-D9271CFAB6EE}"/>
            </c:ext>
          </c:extLst>
        </c:ser>
        <c:ser>
          <c:idx val="1"/>
          <c:order val="1"/>
          <c:invertIfNegative val="0"/>
          <c:cat>
            <c:strRef>
              <c:f>Аркуш1!$A$65:$A$69</c:f>
              <c:strCache>
                <c:ptCount val="5"/>
                <c:pt idx="0">
                  <c:v>50/50</c:v>
                </c:pt>
                <c:pt idx="1">
                  <c:v>мотивує</c:v>
                </c:pt>
                <c:pt idx="2">
                  <c:v>не мотивує</c:v>
                </c:pt>
                <c:pt idx="3">
                  <c:v>дуже мотивує</c:v>
                </c:pt>
                <c:pt idx="4">
                  <c:v>недостатньо мотивує</c:v>
                </c:pt>
              </c:strCache>
            </c:strRef>
          </c:cat>
          <c:val>
            <c:numRef>
              <c:f>Аркуш1!$C$65:$C$69</c:f>
              <c:numCache>
                <c:formatCode>General</c:formatCode>
                <c:ptCount val="5"/>
              </c:numCache>
            </c:numRef>
          </c:val>
          <c:extLst>
            <c:ext xmlns:c16="http://schemas.microsoft.com/office/drawing/2014/chart" uri="{C3380CC4-5D6E-409C-BE32-E72D297353CC}">
              <c16:uniqueId val="{00000001-30A3-41F6-96FC-D9271CFAB6EE}"/>
            </c:ext>
          </c:extLst>
        </c:ser>
        <c:ser>
          <c:idx val="2"/>
          <c:order val="2"/>
          <c:spPr>
            <a:solidFill>
              <a:schemeClr val="tx1">
                <a:lumMod val="75000"/>
                <a:lumOff val="25000"/>
              </a:schemeClr>
            </a:solidFill>
          </c:spPr>
          <c:invertIfNegative val="0"/>
          <c:dLbls>
            <c:dLbl>
              <c:idx val="0"/>
              <c:tx>
                <c:rich>
                  <a:bodyPr/>
                  <a:lstStyle/>
                  <a:p>
                    <a:r>
                      <a:rPr lang="en-US"/>
                      <a:t>33,65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A3-41F6-96FC-D9271CFAB6EE}"/>
                </c:ext>
              </c:extLst>
            </c:dLbl>
            <c:dLbl>
              <c:idx val="1"/>
              <c:tx>
                <c:rich>
                  <a:bodyPr/>
                  <a:lstStyle/>
                  <a:p>
                    <a:r>
                      <a:rPr lang="en-US"/>
                      <a:t>31,73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A3-41F6-96FC-D9271CFAB6EE}"/>
                </c:ext>
              </c:extLst>
            </c:dLbl>
            <c:dLbl>
              <c:idx val="3"/>
              <c:tx>
                <c:rich>
                  <a:bodyPr/>
                  <a:lstStyle/>
                  <a:p>
                    <a:r>
                      <a:rPr lang="en-US"/>
                      <a:t>8,65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A3-41F6-96FC-D9271CFAB6EE}"/>
                </c:ext>
              </c:extLst>
            </c:dLbl>
            <c:dLbl>
              <c:idx val="4"/>
              <c:tx>
                <c:rich>
                  <a:bodyPr/>
                  <a:lstStyle/>
                  <a:p>
                    <a:r>
                      <a:rPr lang="en-US"/>
                      <a:t>0,97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A3-41F6-96FC-D9271CFAB6EE}"/>
                </c:ext>
              </c:extLst>
            </c:dLbl>
            <c:numFmt formatCode="#,##0.00" sourceLinked="0"/>
            <c:spPr>
              <a:solidFill>
                <a:schemeClr val="bg1"/>
              </a:solidFill>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Аркуш1!$A$65:$A$69</c:f>
              <c:strCache>
                <c:ptCount val="5"/>
                <c:pt idx="0">
                  <c:v>50/50</c:v>
                </c:pt>
                <c:pt idx="1">
                  <c:v>мотивує</c:v>
                </c:pt>
                <c:pt idx="2">
                  <c:v>не мотивує</c:v>
                </c:pt>
                <c:pt idx="3">
                  <c:v>дуже мотивує</c:v>
                </c:pt>
                <c:pt idx="4">
                  <c:v>недостатньо мотивує</c:v>
                </c:pt>
              </c:strCache>
            </c:strRef>
          </c:cat>
          <c:val>
            <c:numRef>
              <c:f>Аркуш1!$D$65:$D$69</c:f>
              <c:numCache>
                <c:formatCode>General</c:formatCode>
                <c:ptCount val="5"/>
                <c:pt idx="0">
                  <c:v>33.700000000000003</c:v>
                </c:pt>
                <c:pt idx="1">
                  <c:v>31.7</c:v>
                </c:pt>
                <c:pt idx="2">
                  <c:v>25</c:v>
                </c:pt>
                <c:pt idx="3">
                  <c:v>8.7000000000000011</c:v>
                </c:pt>
                <c:pt idx="4">
                  <c:v>1</c:v>
                </c:pt>
              </c:numCache>
            </c:numRef>
          </c:val>
          <c:extLst>
            <c:ext xmlns:c16="http://schemas.microsoft.com/office/drawing/2014/chart" uri="{C3380CC4-5D6E-409C-BE32-E72D297353CC}">
              <c16:uniqueId val="{00000006-30A3-41F6-96FC-D9271CFAB6EE}"/>
            </c:ext>
          </c:extLst>
        </c:ser>
        <c:dLbls>
          <c:showLegendKey val="0"/>
          <c:showVal val="0"/>
          <c:showCatName val="0"/>
          <c:showSerName val="0"/>
          <c:showPercent val="0"/>
          <c:showBubbleSize val="0"/>
        </c:dLbls>
        <c:gapWidth val="0"/>
        <c:overlap val="69"/>
        <c:axId val="93359104"/>
        <c:axId val="93369088"/>
      </c:barChart>
      <c:catAx>
        <c:axId val="93359104"/>
        <c:scaling>
          <c:orientation val="minMax"/>
        </c:scaling>
        <c:delete val="0"/>
        <c:axPos val="b"/>
        <c:numFmt formatCode="General" sourceLinked="0"/>
        <c:majorTickMark val="out"/>
        <c:minorTickMark val="none"/>
        <c:tickLblPos val="nextTo"/>
        <c:crossAx val="93369088"/>
        <c:crosses val="autoZero"/>
        <c:auto val="1"/>
        <c:lblAlgn val="ctr"/>
        <c:lblOffset val="100"/>
        <c:noMultiLvlLbl val="0"/>
      </c:catAx>
      <c:valAx>
        <c:axId val="93369088"/>
        <c:scaling>
          <c:orientation val="minMax"/>
        </c:scaling>
        <c:delete val="0"/>
        <c:axPos val="l"/>
        <c:majorGridlines/>
        <c:title>
          <c:tx>
            <c:rich>
              <a:bodyPr rot="-5400000" vert="horz"/>
              <a:lstStyle/>
              <a:p>
                <a:pPr>
                  <a:defRPr/>
                </a:pPr>
                <a:r>
                  <a:rPr lang="uk-UA"/>
                  <a:t>Кількість курсантів, %</a:t>
                </a:r>
              </a:p>
            </c:rich>
          </c:tx>
          <c:overlay val="0"/>
        </c:title>
        <c:numFmt formatCode="General" sourceLinked="1"/>
        <c:majorTickMark val="out"/>
        <c:minorTickMark val="none"/>
        <c:tickLblPos val="nextTo"/>
        <c:crossAx val="9335910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rPr lang="en-US"/>
                      <a:t>58,65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17-4E1A-91D3-DCC2170E4F47}"/>
                </c:ext>
              </c:extLst>
            </c:dLbl>
            <c:dLbl>
              <c:idx val="1"/>
              <c:tx>
                <c:rich>
                  <a:bodyPr/>
                  <a:lstStyle/>
                  <a:p>
                    <a:r>
                      <a:rPr lang="en-US"/>
                      <a:t>29,81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17-4E1A-91D3-DCC2170E4F47}"/>
                </c:ext>
              </c:extLst>
            </c:dLbl>
            <c:dLbl>
              <c:idx val="2"/>
              <c:layout>
                <c:manualLayout>
                  <c:x val="2.7777777777777848E-3"/>
                  <c:y val="-1.0612774939812213E-2"/>
                </c:manualLayout>
              </c:layout>
              <c:tx>
                <c:rich>
                  <a:bodyPr/>
                  <a:lstStyle/>
                  <a:p>
                    <a:r>
                      <a:rPr lang="en-US"/>
                      <a:t>11,54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17-4E1A-91D3-DCC2170E4F47}"/>
                </c:ext>
              </c:extLst>
            </c:dLbl>
            <c:numFmt formatCode="#,##0.00" sourceLinked="0"/>
            <c:spPr>
              <a:solidFill>
                <a:schemeClr val="bg1"/>
              </a:solidFill>
            </c:spPr>
            <c:showLegendKey val="0"/>
            <c:showVal val="0"/>
            <c:showCatName val="0"/>
            <c:showSerName val="0"/>
            <c:showPercent val="0"/>
            <c:showBubbleSize val="0"/>
            <c:extLst>
              <c:ext xmlns:c15="http://schemas.microsoft.com/office/drawing/2012/chart" uri="{CE6537A1-D6FC-4f65-9D91-7224C49458BB}">
                <c15:showLeaderLines val="0"/>
              </c:ext>
            </c:extLst>
          </c:dLbls>
          <c:cat>
            <c:strRef>
              <c:f>Аркуш1!$A$27:$A$29</c:f>
              <c:strCache>
                <c:ptCount val="3"/>
                <c:pt idx="0">
                  <c:v>так</c:v>
                </c:pt>
                <c:pt idx="1">
                  <c:v>частково</c:v>
                </c:pt>
                <c:pt idx="2">
                  <c:v>ні</c:v>
                </c:pt>
              </c:strCache>
            </c:strRef>
          </c:cat>
          <c:val>
            <c:numRef>
              <c:f>Аркуш1!$B$27:$B$29</c:f>
              <c:numCache>
                <c:formatCode>General</c:formatCode>
                <c:ptCount val="3"/>
                <c:pt idx="0">
                  <c:v>58.7</c:v>
                </c:pt>
                <c:pt idx="1">
                  <c:v>29.8</c:v>
                </c:pt>
                <c:pt idx="2">
                  <c:v>11.5</c:v>
                </c:pt>
              </c:numCache>
            </c:numRef>
          </c:val>
          <c:extLst>
            <c:ext xmlns:c16="http://schemas.microsoft.com/office/drawing/2014/chart" uri="{C3380CC4-5D6E-409C-BE32-E72D297353CC}">
              <c16:uniqueId val="{00000003-1117-4E1A-91D3-DCC2170E4F47}"/>
            </c:ext>
          </c:extLst>
        </c:ser>
        <c:dLbls>
          <c:showLegendKey val="0"/>
          <c:showVal val="0"/>
          <c:showCatName val="0"/>
          <c:showSerName val="0"/>
          <c:showPercent val="0"/>
          <c:showBubbleSize val="0"/>
        </c:dLbls>
        <c:gapWidth val="150"/>
        <c:axId val="93374336"/>
        <c:axId val="93375872"/>
      </c:barChart>
      <c:catAx>
        <c:axId val="93374336"/>
        <c:scaling>
          <c:orientation val="minMax"/>
        </c:scaling>
        <c:delete val="0"/>
        <c:axPos val="b"/>
        <c:numFmt formatCode="General" sourceLinked="1"/>
        <c:majorTickMark val="out"/>
        <c:minorTickMark val="none"/>
        <c:tickLblPos val="nextTo"/>
        <c:crossAx val="93375872"/>
        <c:crosses val="autoZero"/>
        <c:auto val="1"/>
        <c:lblAlgn val="ctr"/>
        <c:lblOffset val="100"/>
        <c:noMultiLvlLbl val="0"/>
      </c:catAx>
      <c:valAx>
        <c:axId val="93375872"/>
        <c:scaling>
          <c:orientation val="minMax"/>
        </c:scaling>
        <c:delete val="0"/>
        <c:axPos val="l"/>
        <c:majorGridlines/>
        <c:title>
          <c:tx>
            <c:rich>
              <a:bodyPr rot="-5400000" vert="horz"/>
              <a:lstStyle/>
              <a:p>
                <a:pPr>
                  <a:defRPr/>
                </a:pPr>
                <a:r>
                  <a:rPr lang="uk-UA"/>
                  <a:t>Кількість курсантів, %</a:t>
                </a:r>
              </a:p>
            </c:rich>
          </c:tx>
          <c:overlay val="0"/>
        </c:title>
        <c:numFmt formatCode="General" sourceLinked="1"/>
        <c:majorTickMark val="out"/>
        <c:minorTickMark val="none"/>
        <c:tickLblPos val="nextTo"/>
        <c:crossAx val="93374336"/>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rPr lang="en-US"/>
                      <a:t>51,92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60-4B48-B946-195F735BFFC3}"/>
                </c:ext>
              </c:extLst>
            </c:dLbl>
            <c:dLbl>
              <c:idx val="2"/>
              <c:tx>
                <c:rich>
                  <a:bodyPr/>
                  <a:lstStyle/>
                  <a:p>
                    <a:r>
                      <a:rPr lang="en-US"/>
                      <a:t>10,58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60-4B48-B946-195F735BFFC3}"/>
                </c:ext>
              </c:extLst>
            </c:dLbl>
            <c:numFmt formatCode="#,##0.00" sourceLinked="0"/>
            <c:spPr>
              <a:solidFill>
                <a:sysClr val="window" lastClr="FFFFFF"/>
              </a:solidFill>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Аркуш1!$A$4:$A$6</c:f>
              <c:strCache>
                <c:ptCount val="3"/>
                <c:pt idx="0">
                  <c:v>так</c:v>
                </c:pt>
                <c:pt idx="1">
                  <c:v>частково</c:v>
                </c:pt>
                <c:pt idx="2">
                  <c:v>ні</c:v>
                </c:pt>
              </c:strCache>
            </c:strRef>
          </c:cat>
          <c:val>
            <c:numRef>
              <c:f>Аркуш1!$B$4:$B$6</c:f>
              <c:numCache>
                <c:formatCode>General</c:formatCode>
                <c:ptCount val="3"/>
                <c:pt idx="0">
                  <c:v>51.9</c:v>
                </c:pt>
                <c:pt idx="1">
                  <c:v>37.5</c:v>
                </c:pt>
                <c:pt idx="2">
                  <c:v>10.6</c:v>
                </c:pt>
              </c:numCache>
            </c:numRef>
          </c:val>
          <c:extLst>
            <c:ext xmlns:c16="http://schemas.microsoft.com/office/drawing/2014/chart" uri="{C3380CC4-5D6E-409C-BE32-E72D297353CC}">
              <c16:uniqueId val="{00000002-B560-4B48-B946-195F735BFFC3}"/>
            </c:ext>
          </c:extLst>
        </c:ser>
        <c:dLbls>
          <c:showLegendKey val="0"/>
          <c:showVal val="0"/>
          <c:showCatName val="0"/>
          <c:showSerName val="0"/>
          <c:showPercent val="0"/>
          <c:showBubbleSize val="0"/>
        </c:dLbls>
        <c:gapWidth val="150"/>
        <c:axId val="96027008"/>
        <c:axId val="96028544"/>
      </c:barChart>
      <c:catAx>
        <c:axId val="96027008"/>
        <c:scaling>
          <c:orientation val="minMax"/>
        </c:scaling>
        <c:delete val="0"/>
        <c:axPos val="b"/>
        <c:numFmt formatCode="General" sourceLinked="1"/>
        <c:majorTickMark val="out"/>
        <c:minorTickMark val="none"/>
        <c:tickLblPos val="nextTo"/>
        <c:crossAx val="96028544"/>
        <c:crosses val="autoZero"/>
        <c:auto val="1"/>
        <c:lblAlgn val="ctr"/>
        <c:lblOffset val="100"/>
        <c:noMultiLvlLbl val="0"/>
      </c:catAx>
      <c:valAx>
        <c:axId val="96028544"/>
        <c:scaling>
          <c:orientation val="minMax"/>
        </c:scaling>
        <c:delete val="0"/>
        <c:axPos val="l"/>
        <c:majorGridlines/>
        <c:title>
          <c:tx>
            <c:rich>
              <a:bodyPr rot="-5400000" vert="horz"/>
              <a:lstStyle/>
              <a:p>
                <a:pPr>
                  <a:defRPr/>
                </a:pPr>
                <a:r>
                  <a:rPr lang="uk-UA"/>
                  <a:t>Кількість курсантів, %</a:t>
                </a:r>
              </a:p>
            </c:rich>
          </c:tx>
          <c:overlay val="0"/>
        </c:title>
        <c:numFmt formatCode="General" sourceLinked="1"/>
        <c:majorTickMark val="out"/>
        <c:minorTickMark val="none"/>
        <c:tickLblPos val="nextTo"/>
        <c:crossAx val="96027008"/>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Аркуш1!$A$48:$A$52</c:f>
              <c:strCache>
                <c:ptCount val="5"/>
                <c:pt idx="0">
                  <c:v>мотивація від рейтингу</c:v>
                </c:pt>
                <c:pt idx="1">
                  <c:v>самостійні тренування</c:v>
                </c:pt>
                <c:pt idx="2">
                  <c:v>зрозумілість методики</c:v>
                </c:pt>
                <c:pt idx="3">
                  <c:v>ефективність відео</c:v>
                </c:pt>
                <c:pt idx="4">
                  <c:v>самооцінка прогресу</c:v>
                </c:pt>
              </c:strCache>
            </c:strRef>
          </c:cat>
          <c:val>
            <c:numRef>
              <c:f>Аркуш1!$B$48:$B$52</c:f>
              <c:numCache>
                <c:formatCode>General</c:formatCode>
                <c:ptCount val="5"/>
              </c:numCache>
            </c:numRef>
          </c:val>
          <c:extLst>
            <c:ext xmlns:c16="http://schemas.microsoft.com/office/drawing/2014/chart" uri="{C3380CC4-5D6E-409C-BE32-E72D297353CC}">
              <c16:uniqueId val="{00000000-22CA-4960-868A-7A2F3D920766}"/>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Аркуш1!$A$48:$A$52</c:f>
              <c:strCache>
                <c:ptCount val="5"/>
                <c:pt idx="0">
                  <c:v>мотивація від рейтингу</c:v>
                </c:pt>
                <c:pt idx="1">
                  <c:v>самостійні тренування</c:v>
                </c:pt>
                <c:pt idx="2">
                  <c:v>зрозумілість методики</c:v>
                </c:pt>
                <c:pt idx="3">
                  <c:v>ефективність відео</c:v>
                </c:pt>
                <c:pt idx="4">
                  <c:v>самооцінка прогресу</c:v>
                </c:pt>
              </c:strCache>
            </c:strRef>
          </c:cat>
          <c:val>
            <c:numRef>
              <c:f>Аркуш1!$C$48:$C$52</c:f>
              <c:numCache>
                <c:formatCode>General</c:formatCode>
                <c:ptCount val="5"/>
              </c:numCache>
            </c:numRef>
          </c:val>
          <c:extLst>
            <c:ext xmlns:c16="http://schemas.microsoft.com/office/drawing/2014/chart" uri="{C3380CC4-5D6E-409C-BE32-E72D297353CC}">
              <c16:uniqueId val="{00000001-22CA-4960-868A-7A2F3D920766}"/>
            </c:ext>
          </c:extLst>
        </c:ser>
        <c:ser>
          <c:idx val="2"/>
          <c:order val="2"/>
          <c:spPr>
            <a:solidFill>
              <a:schemeClr val="tx1">
                <a:lumMod val="75000"/>
                <a:lumOff val="25000"/>
              </a:schemeClr>
            </a:solidFill>
          </c:spPr>
          <c:invertIfNegative val="0"/>
          <c:dLbls>
            <c:dLbl>
              <c:idx val="0"/>
              <c:tx>
                <c:rich>
                  <a:bodyPr/>
                  <a:lstStyle/>
                  <a:p>
                    <a:r>
                      <a:rPr lang="en-US"/>
                      <a:t>40,38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CA-4960-868A-7A2F3D920766}"/>
                </c:ext>
              </c:extLst>
            </c:dLbl>
            <c:dLbl>
              <c:idx val="1"/>
              <c:tx>
                <c:rich>
                  <a:bodyPr/>
                  <a:lstStyle/>
                  <a:p>
                    <a:r>
                      <a:rPr lang="en-US"/>
                      <a:t>88,46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CA-4960-868A-7A2F3D920766}"/>
                </c:ext>
              </c:extLst>
            </c:dLbl>
            <c:dLbl>
              <c:idx val="2"/>
              <c:tx>
                <c:rich>
                  <a:bodyPr/>
                  <a:lstStyle/>
                  <a:p>
                    <a:r>
                      <a:rPr lang="en-US"/>
                      <a:t>78,85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CA-4960-868A-7A2F3D920766}"/>
                </c:ext>
              </c:extLst>
            </c:dLbl>
            <c:dLbl>
              <c:idx val="3"/>
              <c:tx>
                <c:rich>
                  <a:bodyPr/>
                  <a:lstStyle/>
                  <a:p>
                    <a:r>
                      <a:rPr lang="en-US"/>
                      <a:t>89,42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CA-4960-868A-7A2F3D920766}"/>
                </c:ext>
              </c:extLst>
            </c:dLbl>
            <c:dLbl>
              <c:idx val="4"/>
              <c:tx>
                <c:rich>
                  <a:bodyPr/>
                  <a:lstStyle/>
                  <a:p>
                    <a:r>
                      <a:rPr lang="en-US"/>
                      <a:t>63,46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CA-4960-868A-7A2F3D920766}"/>
                </c:ext>
              </c:extLst>
            </c:dLbl>
            <c:numFmt formatCode="#,##0.00" sourceLinked="0"/>
            <c:spPr>
              <a:solidFill>
                <a:sysClr val="window" lastClr="FFFFFF"/>
              </a:solidFill>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Аркуш1!$A$48:$A$52</c:f>
              <c:strCache>
                <c:ptCount val="5"/>
                <c:pt idx="0">
                  <c:v>мотивація від рейтингу</c:v>
                </c:pt>
                <c:pt idx="1">
                  <c:v>самостійні тренування</c:v>
                </c:pt>
                <c:pt idx="2">
                  <c:v>зрозумілість методики</c:v>
                </c:pt>
                <c:pt idx="3">
                  <c:v>ефективність відео</c:v>
                </c:pt>
                <c:pt idx="4">
                  <c:v>самооцінка прогресу</c:v>
                </c:pt>
              </c:strCache>
            </c:strRef>
          </c:cat>
          <c:val>
            <c:numRef>
              <c:f>Аркуш1!$D$48:$D$52</c:f>
              <c:numCache>
                <c:formatCode>General</c:formatCode>
                <c:ptCount val="5"/>
                <c:pt idx="0">
                  <c:v>40.4</c:v>
                </c:pt>
                <c:pt idx="1">
                  <c:v>88.5</c:v>
                </c:pt>
                <c:pt idx="2">
                  <c:v>78.900000000000006</c:v>
                </c:pt>
                <c:pt idx="3">
                  <c:v>89.4</c:v>
                </c:pt>
                <c:pt idx="4">
                  <c:v>63.5</c:v>
                </c:pt>
              </c:numCache>
            </c:numRef>
          </c:val>
          <c:extLst>
            <c:ext xmlns:c16="http://schemas.microsoft.com/office/drawing/2014/chart" uri="{C3380CC4-5D6E-409C-BE32-E72D297353CC}">
              <c16:uniqueId val="{00000007-22CA-4960-868A-7A2F3D920766}"/>
            </c:ext>
          </c:extLst>
        </c:ser>
        <c:dLbls>
          <c:showLegendKey val="0"/>
          <c:showVal val="0"/>
          <c:showCatName val="0"/>
          <c:showSerName val="0"/>
          <c:showPercent val="0"/>
          <c:showBubbleSize val="0"/>
        </c:dLbls>
        <c:gapWidth val="110"/>
        <c:overlap val="89"/>
        <c:axId val="132467712"/>
        <c:axId val="132477696"/>
      </c:barChart>
      <c:catAx>
        <c:axId val="132467712"/>
        <c:scaling>
          <c:orientation val="minMax"/>
        </c:scaling>
        <c:delete val="0"/>
        <c:axPos val="b"/>
        <c:numFmt formatCode="General" sourceLinked="1"/>
        <c:majorTickMark val="out"/>
        <c:minorTickMark val="none"/>
        <c:tickLblPos val="nextTo"/>
        <c:crossAx val="132477696"/>
        <c:crosses val="autoZero"/>
        <c:auto val="1"/>
        <c:lblAlgn val="ctr"/>
        <c:lblOffset val="100"/>
        <c:noMultiLvlLbl val="0"/>
      </c:catAx>
      <c:valAx>
        <c:axId val="132477696"/>
        <c:scaling>
          <c:orientation val="minMax"/>
        </c:scaling>
        <c:delete val="0"/>
        <c:axPos val="l"/>
        <c:majorGridlines/>
        <c:title>
          <c:tx>
            <c:rich>
              <a:bodyPr rot="-5400000" vert="horz"/>
              <a:lstStyle/>
              <a:p>
                <a:pPr>
                  <a:defRPr/>
                </a:pPr>
                <a:r>
                  <a:rPr lang="uk-UA"/>
                  <a:t>Частка позитивних відповідей, %</a:t>
                </a:r>
              </a:p>
            </c:rich>
          </c:tx>
          <c:overlay val="0"/>
        </c:title>
        <c:numFmt formatCode="General" sourceLinked="1"/>
        <c:majorTickMark val="out"/>
        <c:minorTickMark val="none"/>
        <c:tickLblPos val="nextTo"/>
        <c:crossAx val="132467712"/>
        <c:crosses val="autoZero"/>
        <c:crossBetween val="between"/>
        <c:majorUnit val="20"/>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29</TotalTime>
  <Pages>101</Pages>
  <Words>242245</Words>
  <Characters>138080</Characters>
  <Application>Microsoft Office Word</Application>
  <DocSecurity>0</DocSecurity>
  <Lines>1150</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 Мочернюк</dc:creator>
  <cp:lastModifiedBy>Владислав Мочернюк</cp:lastModifiedBy>
  <cp:revision>4</cp:revision>
  <dcterms:created xsi:type="dcterms:W3CDTF">2026-07-17T11:26:00Z</dcterms:created>
  <dcterms:modified xsi:type="dcterms:W3CDTF">2026-09-01T06:19:00Z</dcterms:modified>
</cp:coreProperties>
</file>